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98039B" w14:textId="77777777" w:rsidR="00376489" w:rsidRPr="00381FA9" w:rsidRDefault="00376489" w:rsidP="00376489">
      <w:pPr>
        <w:pStyle w:val="Ttulo1"/>
        <w:pBdr>
          <w:bottom w:val="single" w:sz="4" w:space="1" w:color="auto"/>
        </w:pBdr>
        <w:rPr>
          <w:rFonts w:ascii="Arial" w:hAnsi="Arial" w:cs="Arial"/>
          <w:b/>
          <w:color w:val="0072BC"/>
          <w:sz w:val="28"/>
        </w:rPr>
      </w:pPr>
    </w:p>
    <w:p w14:paraId="25CF11F9" w14:textId="77777777" w:rsidR="00376489" w:rsidRPr="00381FA9" w:rsidRDefault="00376489" w:rsidP="00376489">
      <w:pPr>
        <w:pStyle w:val="Ttulo1"/>
        <w:pBdr>
          <w:bottom w:val="single" w:sz="4" w:space="1" w:color="auto"/>
        </w:pBdr>
        <w:rPr>
          <w:rFonts w:ascii="Arial" w:hAnsi="Arial" w:cs="Arial"/>
          <w:b/>
          <w:color w:val="0072BC"/>
          <w:sz w:val="28"/>
        </w:rPr>
      </w:pPr>
      <w:r w:rsidRPr="00381FA9">
        <w:rPr>
          <w:rFonts w:ascii="Arial" w:hAnsi="Arial"/>
          <w:b/>
          <w:color w:val="0072BC"/>
          <w:sz w:val="28"/>
        </w:rPr>
        <w:t>Herramienta de Análisis de Datos 4: Mapeo del sistema de mercado</w:t>
      </w:r>
      <w:r w:rsidRPr="00381FA9">
        <w:rPr>
          <w:rStyle w:val="Refdenotaalpie"/>
          <w:rFonts w:ascii="Arial" w:hAnsi="Arial" w:cs="Arial"/>
          <w:sz w:val="14"/>
          <w:szCs w:val="24"/>
        </w:rPr>
        <w:footnoteReference w:id="1"/>
      </w:r>
      <w:r w:rsidRPr="00381FA9">
        <w:rPr>
          <w:rStyle w:val="Refdenotaalpie"/>
          <w:rFonts w:ascii="Arial" w:hAnsi="Arial" w:cs="Arial"/>
          <w:sz w:val="14"/>
          <w:szCs w:val="24"/>
        </w:rPr>
        <w:footnoteReference w:id="2"/>
      </w:r>
      <w:r w:rsidRPr="00381FA9">
        <w:rPr>
          <w:rFonts w:ascii="Arial" w:hAnsi="Arial"/>
          <w:b/>
          <w:color w:val="0072BC"/>
          <w:sz w:val="14"/>
          <w:szCs w:val="24"/>
        </w:rPr>
        <w:t xml:space="preserve"> </w:t>
      </w:r>
    </w:p>
    <w:p w14:paraId="13F14DEF" w14:textId="77777777" w:rsidR="00376489" w:rsidRPr="00381FA9" w:rsidRDefault="00376489" w:rsidP="00376489">
      <w:pPr>
        <w:pStyle w:val="Ttulo3"/>
        <w:spacing w:after="120" w:line="276" w:lineRule="auto"/>
        <w:rPr>
          <w:rFonts w:ascii="Arial" w:hAnsi="Arial" w:cs="Arial"/>
          <w:b/>
          <w:color w:val="0072BC"/>
          <w:sz w:val="12"/>
          <w:szCs w:val="22"/>
        </w:rPr>
      </w:pPr>
    </w:p>
    <w:p w14:paraId="2B478073" w14:textId="77777777" w:rsidR="00376489" w:rsidRPr="00381FA9" w:rsidRDefault="00376489" w:rsidP="00376489">
      <w:pPr>
        <w:pStyle w:val="Ttulo3"/>
        <w:spacing w:after="120" w:line="276" w:lineRule="auto"/>
        <w:rPr>
          <w:rFonts w:ascii="Arial" w:hAnsi="Arial" w:cs="Arial"/>
          <w:b/>
          <w:color w:val="0072BC"/>
          <w:sz w:val="22"/>
          <w:szCs w:val="22"/>
        </w:rPr>
      </w:pPr>
      <w:r w:rsidRPr="00381FA9">
        <w:rPr>
          <w:rFonts w:ascii="Arial" w:hAnsi="Arial"/>
          <w:b/>
          <w:color w:val="0072BC"/>
          <w:sz w:val="22"/>
          <w:szCs w:val="22"/>
        </w:rPr>
        <w:t xml:space="preserve">Introducción </w:t>
      </w:r>
    </w:p>
    <w:p w14:paraId="71177F36" w14:textId="77777777" w:rsidR="00376489" w:rsidRPr="00381FA9" w:rsidRDefault="00376489" w:rsidP="00376489">
      <w:pPr>
        <w:tabs>
          <w:tab w:val="left" w:pos="2353"/>
        </w:tabs>
        <w:spacing w:after="120" w:line="276" w:lineRule="auto"/>
        <w:jc w:val="both"/>
        <w:rPr>
          <w:rFonts w:ascii="Arial" w:eastAsia="Times New Roman" w:hAnsi="Arial" w:cs="Arial"/>
          <w:sz w:val="20"/>
          <w:szCs w:val="20"/>
        </w:rPr>
      </w:pPr>
      <w:r w:rsidRPr="00381FA9">
        <w:rPr>
          <w:rFonts w:ascii="Arial" w:hAnsi="Arial"/>
          <w:sz w:val="20"/>
          <w:szCs w:val="20"/>
        </w:rPr>
        <w:t>Esta herramienta guía el proceso para desarrollar un mapa del sistema de mercado para bienes y servicios básicos, lo que ayudará a identificar a las partes interesadas e informantes clave adicionales para incluirlos en la evaluación y el análisis del mercado y ayudará a identificar los cuellos de botella en el sistema de mercado más amplio y en las actividades de apoyo al mercado que podrían apoyar la capacidad de expansión de la cadena de suministro.</w:t>
      </w:r>
    </w:p>
    <w:p w14:paraId="2D7826BD" w14:textId="77777777" w:rsidR="00376489" w:rsidRPr="00381FA9" w:rsidRDefault="00376489" w:rsidP="00376489">
      <w:pPr>
        <w:jc w:val="both"/>
        <w:rPr>
          <w:rFonts w:ascii="Calibri" w:hAnsi="Calibri" w:cs="Arial"/>
          <w:sz w:val="20"/>
          <w:szCs w:val="20"/>
        </w:rPr>
      </w:pPr>
    </w:p>
    <w:p w14:paraId="7572FEB1" w14:textId="286DC4EB" w:rsidR="00376489" w:rsidRPr="00381FA9" w:rsidRDefault="00376489" w:rsidP="00376489">
      <w:pPr>
        <w:pStyle w:val="Prrafodelista"/>
        <w:numPr>
          <w:ilvl w:val="0"/>
          <w:numId w:val="5"/>
        </w:numPr>
        <w:ind w:left="284" w:hanging="284"/>
        <w:contextualSpacing w:val="0"/>
        <w:jc w:val="both"/>
        <w:rPr>
          <w:rFonts w:ascii="Calibri" w:hAnsi="Calibri" w:cs="Arial"/>
          <w:sz w:val="20"/>
        </w:rPr>
      </w:pPr>
      <w:r w:rsidRPr="00381FA9">
        <w:rPr>
          <w:rFonts w:ascii="Calibri" w:hAnsi="Calibri"/>
          <w:sz w:val="20"/>
        </w:rPr>
        <w:t xml:space="preserve">Los </w:t>
      </w:r>
      <w:r w:rsidR="00381FA9" w:rsidRPr="00381FA9">
        <w:rPr>
          <w:rFonts w:ascii="Calibri" w:hAnsi="Calibri"/>
          <w:sz w:val="20"/>
        </w:rPr>
        <w:t>mapas</w:t>
      </w:r>
      <w:r w:rsidRPr="00381FA9">
        <w:rPr>
          <w:rFonts w:ascii="Calibri" w:hAnsi="Calibri"/>
          <w:sz w:val="20"/>
        </w:rPr>
        <w:t xml:space="preserve"> del sistema de mercado son: </w:t>
      </w:r>
    </w:p>
    <w:p w14:paraId="57A1CAEE" w14:textId="77777777" w:rsidR="00376489" w:rsidRPr="00381FA9" w:rsidRDefault="00376489" w:rsidP="00376489">
      <w:pPr>
        <w:pStyle w:val="Prrafodelista"/>
        <w:numPr>
          <w:ilvl w:val="1"/>
          <w:numId w:val="5"/>
        </w:numPr>
        <w:ind w:left="709" w:hanging="283"/>
        <w:contextualSpacing w:val="0"/>
        <w:jc w:val="both"/>
        <w:rPr>
          <w:rFonts w:ascii="Calibri" w:hAnsi="Calibri" w:cs="Arial"/>
          <w:sz w:val="20"/>
        </w:rPr>
      </w:pPr>
      <w:r w:rsidRPr="00381FA9">
        <w:rPr>
          <w:rFonts w:ascii="Calibri" w:hAnsi="Calibri"/>
          <w:sz w:val="20"/>
        </w:rPr>
        <w:t>Desarrollados para cada bien y servicio que tenga una cadena de suministro diferente. Donde encontramos las similitudes en las cadenas de suministro, y es posible la "agrupación".</w:t>
      </w:r>
    </w:p>
    <w:p w14:paraId="74F2E566" w14:textId="77777777" w:rsidR="00376489" w:rsidRPr="00381FA9" w:rsidRDefault="00376489" w:rsidP="00376489">
      <w:pPr>
        <w:pStyle w:val="Prrafodelista"/>
        <w:numPr>
          <w:ilvl w:val="1"/>
          <w:numId w:val="5"/>
        </w:numPr>
        <w:ind w:left="709" w:hanging="283"/>
        <w:contextualSpacing w:val="0"/>
        <w:jc w:val="both"/>
        <w:rPr>
          <w:rFonts w:ascii="Calibri" w:hAnsi="Calibri" w:cs="Arial"/>
          <w:sz w:val="20"/>
        </w:rPr>
      </w:pPr>
      <w:r w:rsidRPr="00381FA9">
        <w:rPr>
          <w:rFonts w:ascii="Calibri" w:hAnsi="Calibri"/>
          <w:sz w:val="20"/>
        </w:rPr>
        <w:t>Una herramienta visual para comunicar la información de manera eficaz, incluidas las relaciones entre los agentes del mercado, el entorno más amplio del mercado y la infraestructura pertinente al sistema de mercado de ese bien y/o servicio básico. Se les puede añadir un enfoque específico en los aspectos de género, protección y medio ambiente.</w:t>
      </w:r>
    </w:p>
    <w:p w14:paraId="25576B33" w14:textId="77777777" w:rsidR="00376489" w:rsidRPr="00381FA9" w:rsidRDefault="00376489" w:rsidP="00376489">
      <w:pPr>
        <w:pStyle w:val="Prrafodelista"/>
        <w:numPr>
          <w:ilvl w:val="1"/>
          <w:numId w:val="5"/>
        </w:numPr>
        <w:ind w:left="709" w:hanging="283"/>
        <w:contextualSpacing w:val="0"/>
        <w:jc w:val="both"/>
        <w:rPr>
          <w:rFonts w:ascii="Calibri" w:hAnsi="Calibri" w:cs="Arial"/>
          <w:sz w:val="20"/>
        </w:rPr>
      </w:pPr>
      <w:r w:rsidRPr="00381FA9">
        <w:rPr>
          <w:rFonts w:ascii="Calibri" w:hAnsi="Calibri"/>
          <w:sz w:val="20"/>
        </w:rPr>
        <w:t xml:space="preserve">Simples y fáciles de leer y entender, centrándose en los aspectos que son relevantes para los bienes y servicios de interés. </w:t>
      </w:r>
    </w:p>
    <w:p w14:paraId="25B841CB" w14:textId="77777777" w:rsidR="00376489" w:rsidRPr="00381FA9" w:rsidRDefault="00376489" w:rsidP="00376489">
      <w:pPr>
        <w:pStyle w:val="Prrafodelista"/>
        <w:numPr>
          <w:ilvl w:val="0"/>
          <w:numId w:val="5"/>
        </w:numPr>
        <w:ind w:left="284" w:hanging="284"/>
        <w:contextualSpacing w:val="0"/>
        <w:jc w:val="both"/>
        <w:rPr>
          <w:rFonts w:ascii="Calibri" w:hAnsi="Calibri" w:cs="Arial"/>
          <w:sz w:val="20"/>
        </w:rPr>
      </w:pPr>
      <w:r w:rsidRPr="00381FA9">
        <w:rPr>
          <w:rFonts w:ascii="Calibri" w:hAnsi="Calibri"/>
          <w:sz w:val="20"/>
        </w:rPr>
        <w:t>El desarrollo de los mapas es:</w:t>
      </w:r>
    </w:p>
    <w:p w14:paraId="28C0E06A" w14:textId="77777777" w:rsidR="00376489" w:rsidRPr="00381FA9" w:rsidRDefault="00376489" w:rsidP="00376489">
      <w:pPr>
        <w:pStyle w:val="Prrafodelista"/>
        <w:numPr>
          <w:ilvl w:val="1"/>
          <w:numId w:val="5"/>
        </w:numPr>
        <w:ind w:left="709" w:hanging="283"/>
        <w:contextualSpacing w:val="0"/>
        <w:jc w:val="both"/>
        <w:rPr>
          <w:rFonts w:ascii="Calibri" w:hAnsi="Calibri" w:cs="Arial"/>
          <w:sz w:val="20"/>
        </w:rPr>
      </w:pPr>
      <w:r w:rsidRPr="00381FA9">
        <w:rPr>
          <w:rFonts w:ascii="Calibri" w:hAnsi="Calibri"/>
          <w:sz w:val="20"/>
        </w:rPr>
        <w:t>Un proceso iterativo que requiere profundizar/ cuestionar y revisar los mapas con informantes clave y usar datos secundarios. Es probable que se revisen varias veces y esta práctica se debe fomentar.</w:t>
      </w:r>
    </w:p>
    <w:p w14:paraId="0A6E09EB" w14:textId="77777777" w:rsidR="00376489" w:rsidRPr="00381FA9" w:rsidRDefault="00376489" w:rsidP="00376489">
      <w:pPr>
        <w:pStyle w:val="Prrafodelista"/>
        <w:numPr>
          <w:ilvl w:val="0"/>
          <w:numId w:val="5"/>
        </w:numPr>
        <w:ind w:left="284" w:hanging="284"/>
        <w:contextualSpacing w:val="0"/>
        <w:jc w:val="both"/>
        <w:rPr>
          <w:rFonts w:ascii="Calibri" w:eastAsia="Times New Roman" w:hAnsi="Calibri" w:cs="Arial"/>
          <w:b/>
          <w:sz w:val="20"/>
        </w:rPr>
      </w:pPr>
      <w:r w:rsidRPr="00381FA9">
        <w:rPr>
          <w:rFonts w:ascii="Calibri" w:hAnsi="Calibri"/>
          <w:sz w:val="20"/>
        </w:rPr>
        <w:t xml:space="preserve">Los mapas se utilizan para: </w:t>
      </w:r>
    </w:p>
    <w:p w14:paraId="3A7F33D2" w14:textId="77777777" w:rsidR="00376489" w:rsidRPr="00381FA9" w:rsidRDefault="00376489" w:rsidP="00376489">
      <w:pPr>
        <w:pStyle w:val="Prrafodelista"/>
        <w:numPr>
          <w:ilvl w:val="1"/>
          <w:numId w:val="5"/>
        </w:numPr>
        <w:ind w:left="709" w:hanging="283"/>
        <w:contextualSpacing w:val="0"/>
        <w:jc w:val="both"/>
        <w:rPr>
          <w:rFonts w:ascii="Calibri" w:hAnsi="Calibri" w:cs="Arial"/>
          <w:sz w:val="20"/>
        </w:rPr>
      </w:pPr>
      <w:r w:rsidRPr="00381FA9">
        <w:rPr>
          <w:rFonts w:ascii="Calibri" w:hAnsi="Calibri"/>
          <w:sz w:val="20"/>
        </w:rPr>
        <w:t xml:space="preserve">Ayudar al equipo de campo a decidir con qué actores del mercado e informantes clave deben reunirse. </w:t>
      </w:r>
    </w:p>
    <w:p w14:paraId="3CF3C2A6" w14:textId="77777777" w:rsidR="00376489" w:rsidRPr="00381FA9" w:rsidRDefault="00376489" w:rsidP="00376489">
      <w:pPr>
        <w:pStyle w:val="Prrafodelista"/>
        <w:numPr>
          <w:ilvl w:val="1"/>
          <w:numId w:val="5"/>
        </w:numPr>
        <w:ind w:left="709" w:hanging="283"/>
        <w:contextualSpacing w:val="0"/>
        <w:jc w:val="both"/>
        <w:rPr>
          <w:rFonts w:ascii="Calibri" w:hAnsi="Calibri" w:cs="Arial"/>
          <w:sz w:val="20"/>
        </w:rPr>
      </w:pPr>
      <w:r w:rsidRPr="00381FA9">
        <w:rPr>
          <w:rFonts w:ascii="Calibri" w:hAnsi="Calibri"/>
          <w:sz w:val="20"/>
        </w:rPr>
        <w:t>Ayudar a identificar las brechas de información para determinar en qué temas y preguntas centrarse.</w:t>
      </w:r>
    </w:p>
    <w:p w14:paraId="6E7F3F75" w14:textId="77777777" w:rsidR="00376489" w:rsidRPr="00381FA9" w:rsidRDefault="00376489" w:rsidP="00376489">
      <w:pPr>
        <w:pStyle w:val="Prrafodelista"/>
        <w:numPr>
          <w:ilvl w:val="1"/>
          <w:numId w:val="5"/>
        </w:numPr>
        <w:ind w:left="709" w:hanging="283"/>
        <w:contextualSpacing w:val="0"/>
        <w:jc w:val="both"/>
        <w:rPr>
          <w:rFonts w:ascii="Calibri" w:eastAsia="Times New Roman" w:hAnsi="Calibri" w:cs="Arial"/>
          <w:b/>
          <w:sz w:val="20"/>
        </w:rPr>
      </w:pPr>
      <w:r w:rsidRPr="00381FA9">
        <w:rPr>
          <w:rFonts w:ascii="Calibri" w:hAnsi="Calibri"/>
          <w:sz w:val="20"/>
        </w:rPr>
        <w:t>Ayudar en el análisis de los datos de mercado proporcionando una comprensión más holística del sistema de mercado para ese bien y servicio básico.</w:t>
      </w:r>
    </w:p>
    <w:p w14:paraId="22B24D96" w14:textId="77777777" w:rsidR="00376489" w:rsidRPr="00381FA9" w:rsidRDefault="00376489" w:rsidP="00376489">
      <w:pPr>
        <w:tabs>
          <w:tab w:val="left" w:pos="2353"/>
        </w:tabs>
        <w:jc w:val="both"/>
        <w:rPr>
          <w:rFonts w:ascii="Calibri" w:eastAsia="Times New Roman" w:hAnsi="Calibri" w:cs="Arial"/>
          <w:b/>
          <w:sz w:val="20"/>
          <w:szCs w:val="20"/>
        </w:rPr>
      </w:pPr>
    </w:p>
    <w:p w14:paraId="2D57447E" w14:textId="77777777" w:rsidR="00376489" w:rsidRPr="00381FA9" w:rsidRDefault="00376489" w:rsidP="00376489">
      <w:pPr>
        <w:tabs>
          <w:tab w:val="left" w:pos="2353"/>
        </w:tabs>
        <w:jc w:val="both"/>
        <w:rPr>
          <w:rFonts w:ascii="Calibri" w:eastAsia="Times New Roman" w:hAnsi="Calibri" w:cs="Arial"/>
          <w:b/>
          <w:sz w:val="20"/>
          <w:szCs w:val="20"/>
        </w:rPr>
      </w:pPr>
      <w:r w:rsidRPr="00381FA9">
        <w:rPr>
          <w:rFonts w:ascii="Calibri" w:hAnsi="Calibri"/>
          <w:b/>
          <w:sz w:val="20"/>
          <w:szCs w:val="20"/>
        </w:rPr>
        <w:t>CONSEJOS</w:t>
      </w:r>
    </w:p>
    <w:p w14:paraId="07EB56D1" w14:textId="77777777" w:rsidR="00376489" w:rsidRPr="00381FA9" w:rsidRDefault="00376489" w:rsidP="00376489">
      <w:pPr>
        <w:pStyle w:val="Prrafodelista"/>
        <w:numPr>
          <w:ilvl w:val="0"/>
          <w:numId w:val="6"/>
        </w:numPr>
        <w:tabs>
          <w:tab w:val="left" w:pos="2353"/>
        </w:tabs>
        <w:contextualSpacing w:val="0"/>
        <w:jc w:val="both"/>
        <w:rPr>
          <w:rFonts w:ascii="Calibri" w:eastAsia="Times New Roman" w:hAnsi="Calibri" w:cs="Arial"/>
          <w:i/>
          <w:sz w:val="20"/>
        </w:rPr>
      </w:pPr>
      <w:r w:rsidRPr="00381FA9">
        <w:rPr>
          <w:rFonts w:ascii="Calibri" w:hAnsi="Calibri"/>
          <w:i/>
          <w:sz w:val="20"/>
        </w:rPr>
        <w:t>Asegúrese de que el equipo tenga tiempo suficiente para estudiar y comprender los ejemplos y siga las instrucciones paso a paso como se indican a continuación. Esto ahorrará tiempo y mejorará la calidad de los datos registrados.</w:t>
      </w:r>
    </w:p>
    <w:p w14:paraId="6A6E3683" w14:textId="42F065FC" w:rsidR="00376489" w:rsidRPr="00381FA9" w:rsidRDefault="00381FA9" w:rsidP="00376489">
      <w:pPr>
        <w:pStyle w:val="Prrafodelista"/>
        <w:numPr>
          <w:ilvl w:val="0"/>
          <w:numId w:val="6"/>
        </w:numPr>
        <w:tabs>
          <w:tab w:val="left" w:pos="2353"/>
        </w:tabs>
        <w:contextualSpacing w:val="0"/>
        <w:jc w:val="both"/>
        <w:rPr>
          <w:rFonts w:ascii="Calibri" w:eastAsia="Times New Roman" w:hAnsi="Calibri" w:cs="Arial"/>
          <w:i/>
          <w:sz w:val="20"/>
        </w:rPr>
      </w:pPr>
      <w:r w:rsidRPr="00381FA9">
        <w:rPr>
          <w:rFonts w:ascii="Calibri" w:hAnsi="Calibri"/>
          <w:i/>
          <w:sz w:val="20"/>
        </w:rPr>
        <w:t>Asegúrese</w:t>
      </w:r>
      <w:r w:rsidR="00376489" w:rsidRPr="00381FA9">
        <w:rPr>
          <w:rFonts w:ascii="Calibri" w:hAnsi="Calibri"/>
          <w:i/>
          <w:sz w:val="20"/>
        </w:rPr>
        <w:t xml:space="preserve"> de que los datos de precios y volúmenes se refieran a </w:t>
      </w:r>
      <w:r w:rsidRPr="00381FA9">
        <w:rPr>
          <w:rFonts w:ascii="Calibri" w:hAnsi="Calibri"/>
          <w:i/>
          <w:sz w:val="20"/>
        </w:rPr>
        <w:t>características</w:t>
      </w:r>
      <w:r w:rsidR="00376489" w:rsidRPr="00381FA9">
        <w:rPr>
          <w:rFonts w:ascii="Calibri" w:hAnsi="Calibri"/>
          <w:i/>
          <w:sz w:val="20"/>
        </w:rPr>
        <w:t xml:space="preserve"> de bienes y servicios y a unidades específicas (especialmente si los aspectos de calidad y ambientales, como fuentes sostenibles, son importantes).</w:t>
      </w:r>
    </w:p>
    <w:p w14:paraId="212E2E56" w14:textId="77777777" w:rsidR="00376489" w:rsidRPr="00381FA9" w:rsidRDefault="00376489" w:rsidP="00376489">
      <w:pPr>
        <w:pStyle w:val="Prrafodelista"/>
        <w:numPr>
          <w:ilvl w:val="0"/>
          <w:numId w:val="6"/>
        </w:numPr>
        <w:tabs>
          <w:tab w:val="left" w:pos="2353"/>
        </w:tabs>
        <w:contextualSpacing w:val="0"/>
        <w:jc w:val="both"/>
        <w:rPr>
          <w:rFonts w:ascii="Calibri" w:eastAsia="Times New Roman" w:hAnsi="Calibri" w:cs="Arial"/>
          <w:i/>
          <w:sz w:val="20"/>
        </w:rPr>
      </w:pPr>
      <w:r w:rsidRPr="00381FA9">
        <w:rPr>
          <w:rFonts w:ascii="Calibri" w:hAnsi="Calibri"/>
          <w:i/>
          <w:sz w:val="20"/>
        </w:rPr>
        <w:t xml:space="preserve">Para este ejercicio necesitará: </w:t>
      </w:r>
    </w:p>
    <w:p w14:paraId="03B45E8E" w14:textId="77777777" w:rsidR="00376489" w:rsidRPr="00381FA9" w:rsidRDefault="00376489" w:rsidP="00376489">
      <w:pPr>
        <w:pStyle w:val="Prrafodelista"/>
        <w:numPr>
          <w:ilvl w:val="1"/>
          <w:numId w:val="6"/>
        </w:numPr>
        <w:tabs>
          <w:tab w:val="left" w:pos="2353"/>
        </w:tabs>
        <w:contextualSpacing w:val="0"/>
        <w:jc w:val="both"/>
        <w:rPr>
          <w:rFonts w:ascii="Calibri" w:eastAsia="Times New Roman" w:hAnsi="Calibri" w:cs="Arial"/>
          <w:i/>
          <w:sz w:val="20"/>
        </w:rPr>
      </w:pPr>
      <w:r w:rsidRPr="00381FA9">
        <w:rPr>
          <w:rFonts w:ascii="Calibri" w:hAnsi="Calibri"/>
          <w:i/>
          <w:sz w:val="20"/>
        </w:rPr>
        <w:t>Papelógrafo (o tablero blanco), Notas adhesivas (post-its) (varios colores) y bolígrafos (varios colores)</w:t>
      </w:r>
    </w:p>
    <w:p w14:paraId="399C21BD" w14:textId="77777777" w:rsidR="00376489" w:rsidRPr="00381FA9" w:rsidRDefault="00376489" w:rsidP="00376489">
      <w:pPr>
        <w:pStyle w:val="Prrafodelista"/>
        <w:numPr>
          <w:ilvl w:val="0"/>
          <w:numId w:val="6"/>
        </w:numPr>
        <w:contextualSpacing w:val="0"/>
        <w:jc w:val="both"/>
        <w:rPr>
          <w:rFonts w:ascii="Calibri" w:hAnsi="Calibri" w:cs="Arial"/>
          <w:sz w:val="20"/>
        </w:rPr>
      </w:pPr>
      <w:r w:rsidRPr="00381FA9">
        <w:rPr>
          <w:rFonts w:ascii="Calibri" w:hAnsi="Calibri"/>
          <w:sz w:val="20"/>
        </w:rPr>
        <w:t>Colocar a los actores del mercado/ proveedores de servicios y similares en post-its ayudará al proceso iterativo (ver más abajo) que tiene lugar al mapear.</w:t>
      </w:r>
    </w:p>
    <w:p w14:paraId="35C71352" w14:textId="77777777" w:rsidR="00376489" w:rsidRPr="00381FA9" w:rsidRDefault="00376489" w:rsidP="00376489">
      <w:pPr>
        <w:jc w:val="both"/>
        <w:rPr>
          <w:rFonts w:ascii="Calibri" w:hAnsi="Calibri" w:cs="Arial"/>
          <w:sz w:val="20"/>
          <w:szCs w:val="20"/>
        </w:rPr>
      </w:pPr>
    </w:p>
    <w:p w14:paraId="313D0B74" w14:textId="77777777" w:rsidR="00376489" w:rsidRPr="00381FA9" w:rsidRDefault="00376489" w:rsidP="00376489">
      <w:pPr>
        <w:jc w:val="both"/>
        <w:rPr>
          <w:rFonts w:ascii="Calibri" w:hAnsi="Calibri" w:cs="Arial"/>
          <w:b/>
          <w:sz w:val="20"/>
          <w:szCs w:val="20"/>
        </w:rPr>
      </w:pPr>
      <w:r w:rsidRPr="00381FA9">
        <w:rPr>
          <w:rFonts w:ascii="Calibri" w:hAnsi="Calibri"/>
          <w:b/>
          <w:sz w:val="20"/>
          <w:szCs w:val="20"/>
        </w:rPr>
        <w:t>Al final del mapeo del sistema de mercado, responda a las siguientes preguntas:</w:t>
      </w:r>
    </w:p>
    <w:p w14:paraId="0DED32BE" w14:textId="77777777" w:rsidR="00376489" w:rsidRPr="00381FA9" w:rsidRDefault="00376489" w:rsidP="00376489">
      <w:pPr>
        <w:jc w:val="both"/>
        <w:rPr>
          <w:rFonts w:ascii="Calibri" w:hAnsi="Calibri" w:cs="Arial"/>
          <w:b/>
          <w:sz w:val="20"/>
          <w:szCs w:val="20"/>
        </w:rPr>
      </w:pPr>
    </w:p>
    <w:p w14:paraId="5FC04F14" w14:textId="77777777" w:rsidR="00376489" w:rsidRPr="00381FA9" w:rsidRDefault="00376489" w:rsidP="00376489">
      <w:pPr>
        <w:pStyle w:val="Prrafodelista"/>
        <w:numPr>
          <w:ilvl w:val="0"/>
          <w:numId w:val="10"/>
        </w:numPr>
        <w:jc w:val="both"/>
        <w:rPr>
          <w:rFonts w:ascii="Calibri" w:hAnsi="Calibri" w:cs="Arial"/>
          <w:b/>
          <w:sz w:val="20"/>
        </w:rPr>
      </w:pPr>
      <w:r w:rsidRPr="00381FA9">
        <w:rPr>
          <w:rFonts w:ascii="Calibri" w:hAnsi="Calibri"/>
          <w:b/>
          <w:sz w:val="20"/>
        </w:rPr>
        <w:t xml:space="preserve">¿Cuáles son las limitaciones/barreras que afectarán al suministro de bienes y servicios básicos en el sistema de mercado, y pueden mitigarse? </w:t>
      </w:r>
      <w:r w:rsidRPr="00381FA9">
        <w:rPr>
          <w:rFonts w:ascii="Calibri" w:hAnsi="Calibri"/>
          <w:i/>
          <w:sz w:val="20"/>
        </w:rPr>
        <w:t>¿Dónde se encuentran estas limitaciones/barreras, a quién afectan y qué se puede hacer para mitigarlas? ¿Las restricciones/barreras afectan a ciertos grupos más que a otros, como las mujeres y los ancianos? ¿Cuál es el impacto probable de abordar estas barreras? ¿Cuál será el impacto en la población objetivo y la sostenibilidad de la respuesta?</w:t>
      </w:r>
    </w:p>
    <w:p w14:paraId="6FA6AAF9" w14:textId="77777777" w:rsidR="00376489" w:rsidRPr="00381FA9" w:rsidRDefault="00376489" w:rsidP="00376489">
      <w:pPr>
        <w:tabs>
          <w:tab w:val="left" w:pos="1598"/>
        </w:tabs>
        <w:jc w:val="both"/>
        <w:rPr>
          <w:rFonts w:ascii="Calibri" w:hAnsi="Calibri" w:cs="Arial"/>
          <w:b/>
          <w:sz w:val="20"/>
          <w:szCs w:val="20"/>
        </w:rPr>
      </w:pPr>
      <w:r w:rsidRPr="00381FA9">
        <w:rPr>
          <w:rFonts w:ascii="Calibri" w:hAnsi="Calibri"/>
          <w:b/>
          <w:sz w:val="20"/>
          <w:szCs w:val="20"/>
        </w:rPr>
        <w:tab/>
      </w:r>
    </w:p>
    <w:p w14:paraId="67FA0432" w14:textId="77777777" w:rsidR="00376489" w:rsidRPr="00381FA9" w:rsidRDefault="00376489" w:rsidP="00376489">
      <w:pPr>
        <w:pStyle w:val="Prrafodelista"/>
        <w:numPr>
          <w:ilvl w:val="0"/>
          <w:numId w:val="10"/>
        </w:numPr>
        <w:jc w:val="both"/>
        <w:rPr>
          <w:rFonts w:ascii="Calibri" w:hAnsi="Calibri" w:cs="Arial"/>
          <w:b/>
          <w:sz w:val="20"/>
        </w:rPr>
      </w:pPr>
      <w:r w:rsidRPr="00381FA9">
        <w:rPr>
          <w:rFonts w:ascii="Calibri" w:hAnsi="Calibri"/>
          <w:b/>
          <w:sz w:val="20"/>
        </w:rPr>
        <w:t xml:space="preserve">¿Existen oportunidades para mejorar el acceso de la población objetivo a los bienes y servicios? </w:t>
      </w:r>
      <w:r w:rsidRPr="00381FA9">
        <w:rPr>
          <w:rFonts w:ascii="Calibri" w:hAnsi="Calibri"/>
          <w:i/>
          <w:sz w:val="20"/>
        </w:rPr>
        <w:t xml:space="preserve">¿Qué se puede hacer para garantizar una mejora sostenida del acceso de la población objetivo a los bienes y servicios? ¿Las oportunidades se encuentran dentro del plazo de la intervención probable? ¿Quién estaría mejor situado para llevar a cabo estas intervenciones? </w:t>
      </w:r>
    </w:p>
    <w:p w14:paraId="7D7FE82C" w14:textId="77777777" w:rsidR="00376489" w:rsidRPr="00381FA9" w:rsidRDefault="00376489" w:rsidP="00376489">
      <w:pPr>
        <w:jc w:val="both"/>
        <w:rPr>
          <w:rFonts w:ascii="Calibri" w:hAnsi="Calibri" w:cs="Arial"/>
          <w:b/>
          <w:sz w:val="20"/>
          <w:szCs w:val="20"/>
        </w:rPr>
      </w:pPr>
    </w:p>
    <w:p w14:paraId="2EFAE369" w14:textId="66BD9F5F" w:rsidR="00376489" w:rsidRPr="00381FA9" w:rsidRDefault="00376489" w:rsidP="00376489">
      <w:pPr>
        <w:pStyle w:val="Prrafodelista"/>
        <w:numPr>
          <w:ilvl w:val="0"/>
          <w:numId w:val="10"/>
        </w:numPr>
        <w:jc w:val="both"/>
        <w:rPr>
          <w:rFonts w:ascii="Calibri" w:hAnsi="Calibri" w:cs="Arial"/>
          <w:i/>
          <w:sz w:val="20"/>
        </w:rPr>
      </w:pPr>
      <w:r w:rsidRPr="00381FA9">
        <w:rPr>
          <w:rFonts w:ascii="Calibri" w:hAnsi="Calibri"/>
          <w:b/>
          <w:sz w:val="20"/>
        </w:rPr>
        <w:t xml:space="preserve">¿Qué se puede hacer para mejorar la funcionalidad de los actores clave del mercado: dentro de la cadena de mercado, la infraestructura y el entorno del mercado? </w:t>
      </w:r>
      <w:r w:rsidRPr="00381FA9">
        <w:rPr>
          <w:rFonts w:ascii="Calibri" w:hAnsi="Calibri"/>
          <w:i/>
          <w:sz w:val="20"/>
        </w:rPr>
        <w:t xml:space="preserve">¿Qué apoyo se necesita y podría proporcionarse dentro del plazo de la intervención? ¿Quiénes son los actores clave </w:t>
      </w:r>
      <w:r w:rsidR="00381FA9" w:rsidRPr="00381FA9">
        <w:rPr>
          <w:rFonts w:ascii="Calibri" w:hAnsi="Calibri"/>
          <w:i/>
          <w:sz w:val="20"/>
        </w:rPr>
        <w:t>involucrados</w:t>
      </w:r>
      <w:r w:rsidRPr="00381FA9">
        <w:rPr>
          <w:rFonts w:ascii="Calibri" w:hAnsi="Calibri"/>
          <w:i/>
          <w:sz w:val="20"/>
        </w:rPr>
        <w:t xml:space="preserve"> en garantizar el mejoramiento de la funcionalidad del mercado? ¿Cómo puede sostenerse el impacto de la intervención?</w:t>
      </w:r>
    </w:p>
    <w:p w14:paraId="69F2FDB2" w14:textId="77777777" w:rsidR="00376489" w:rsidRPr="00381FA9" w:rsidRDefault="00376489" w:rsidP="00376489">
      <w:pPr>
        <w:jc w:val="both"/>
        <w:rPr>
          <w:rFonts w:ascii="Calibri" w:hAnsi="Calibri" w:cs="Arial"/>
          <w:sz w:val="20"/>
          <w:szCs w:val="20"/>
        </w:rPr>
      </w:pPr>
    </w:p>
    <w:p w14:paraId="29FB8B9A" w14:textId="485F6AFB" w:rsidR="00376489" w:rsidRPr="00381FA9" w:rsidRDefault="00376489" w:rsidP="00376489">
      <w:pPr>
        <w:pStyle w:val="Ttulo3"/>
        <w:spacing w:after="120" w:line="276" w:lineRule="auto"/>
        <w:rPr>
          <w:rFonts w:ascii="Arial" w:hAnsi="Arial" w:cs="Arial"/>
          <w:b/>
          <w:color w:val="0072BC"/>
          <w:sz w:val="22"/>
          <w:szCs w:val="22"/>
        </w:rPr>
      </w:pPr>
      <w:r w:rsidRPr="00381FA9">
        <w:rPr>
          <w:rFonts w:ascii="Arial" w:hAnsi="Arial"/>
          <w:b/>
          <w:color w:val="0072BC"/>
          <w:sz w:val="22"/>
          <w:szCs w:val="22"/>
        </w:rPr>
        <w:lastRenderedPageBreak/>
        <w:t xml:space="preserve">Guía de los </w:t>
      </w:r>
      <w:r w:rsidR="00381FA9" w:rsidRPr="00381FA9">
        <w:rPr>
          <w:rFonts w:ascii="Arial" w:hAnsi="Arial"/>
          <w:b/>
          <w:color w:val="0072BC"/>
          <w:sz w:val="22"/>
          <w:szCs w:val="22"/>
        </w:rPr>
        <w:t>mapas</w:t>
      </w:r>
      <w:r w:rsidRPr="00381FA9">
        <w:rPr>
          <w:rFonts w:ascii="Arial" w:hAnsi="Arial"/>
          <w:b/>
          <w:color w:val="0072BC"/>
          <w:sz w:val="22"/>
          <w:szCs w:val="22"/>
        </w:rPr>
        <w:t xml:space="preserve"> del sistema de mercado</w:t>
      </w:r>
    </w:p>
    <w:p w14:paraId="3227690A" w14:textId="77777777" w:rsidR="00376489" w:rsidRPr="00381FA9" w:rsidRDefault="00376489" w:rsidP="00376489">
      <w:pPr>
        <w:tabs>
          <w:tab w:val="left" w:pos="2353"/>
        </w:tabs>
        <w:jc w:val="both"/>
        <w:rPr>
          <w:rFonts w:ascii="Calibri" w:eastAsia="Times New Roman" w:hAnsi="Calibri" w:cs="Arial"/>
          <w:sz w:val="20"/>
          <w:szCs w:val="20"/>
        </w:rPr>
      </w:pPr>
      <w:r w:rsidRPr="00381FA9">
        <w:rPr>
          <w:rFonts w:ascii="Calibri" w:hAnsi="Calibri"/>
          <w:sz w:val="20"/>
          <w:szCs w:val="20"/>
        </w:rPr>
        <w:t>Las preguntas 1-4, del borrador del mapa de la cadena de suministro, solo tendrán en cuenta los actores de la cadena de mercado – estos actores incluirán a cualquiera que interactúe regularmente con el movimiento de este bien. Esto incluye a las agencias humanitarias.</w:t>
      </w:r>
    </w:p>
    <w:p w14:paraId="2CF57329" w14:textId="77777777" w:rsidR="00376489" w:rsidRPr="00381FA9" w:rsidRDefault="00376489" w:rsidP="00376489">
      <w:pPr>
        <w:tabs>
          <w:tab w:val="left" w:pos="2353"/>
        </w:tabs>
        <w:jc w:val="both"/>
        <w:rPr>
          <w:rFonts w:ascii="Calibri" w:eastAsia="Times New Roman" w:hAnsi="Calibri" w:cs="Arial"/>
          <w:sz w:val="20"/>
          <w:szCs w:val="20"/>
        </w:rPr>
      </w:pPr>
      <w:r w:rsidRPr="00381FA9">
        <w:rPr>
          <w:rFonts w:ascii="Calibri" w:hAnsi="Calibri"/>
          <w:sz w:val="20"/>
          <w:szCs w:val="20"/>
        </w:rPr>
        <w:t xml:space="preserve">Pregunta 5-9, el mapa de la cadena de suministro, implicará añadir información más detallada al actor del mercado y al componente de flujo y considerará la </w:t>
      </w:r>
      <w:r w:rsidRPr="00381FA9">
        <w:rPr>
          <w:rFonts w:ascii="Calibri" w:hAnsi="Calibri"/>
          <w:i/>
          <w:iCs/>
          <w:sz w:val="20"/>
          <w:szCs w:val="20"/>
        </w:rPr>
        <w:t>infraestructura y los servicios</w:t>
      </w:r>
      <w:r w:rsidRPr="00381FA9">
        <w:rPr>
          <w:rFonts w:ascii="Calibri" w:hAnsi="Calibri"/>
          <w:sz w:val="20"/>
          <w:szCs w:val="20"/>
        </w:rPr>
        <w:t xml:space="preserve">, así como el entorno externo </w:t>
      </w:r>
      <w:r w:rsidRPr="00381FA9">
        <w:rPr>
          <w:rFonts w:ascii="Calibri" w:hAnsi="Calibri"/>
          <w:i/>
          <w:sz w:val="20"/>
          <w:szCs w:val="20"/>
        </w:rPr>
        <w:t>para</w:t>
      </w:r>
      <w:r w:rsidRPr="00381FA9">
        <w:rPr>
          <w:rFonts w:ascii="Calibri" w:hAnsi="Calibri"/>
          <w:sz w:val="20"/>
          <w:szCs w:val="20"/>
        </w:rPr>
        <w:t xml:space="preserve"> comprender </w:t>
      </w:r>
      <w:r w:rsidRPr="00381FA9">
        <w:rPr>
          <w:rFonts w:ascii="Calibri" w:hAnsi="Calibri"/>
          <w:i/>
          <w:sz w:val="20"/>
          <w:szCs w:val="20"/>
        </w:rPr>
        <w:t>los factores más importantes</w:t>
      </w:r>
      <w:r w:rsidRPr="00381FA9">
        <w:rPr>
          <w:rFonts w:ascii="Calibri" w:hAnsi="Calibri"/>
          <w:sz w:val="20"/>
          <w:szCs w:val="20"/>
        </w:rPr>
        <w:t xml:space="preserve"> que contribuyen al funcionamiento eficaz de este sistema de mercado. </w:t>
      </w:r>
    </w:p>
    <w:p w14:paraId="5F4FAD28" w14:textId="77777777" w:rsidR="00376489" w:rsidRPr="00381FA9" w:rsidRDefault="00376489" w:rsidP="00376489">
      <w:pPr>
        <w:jc w:val="both"/>
        <w:rPr>
          <w:rFonts w:ascii="Calibri" w:hAnsi="Calibri" w:cs="Arial"/>
          <w:sz w:val="20"/>
          <w:szCs w:val="20"/>
        </w:rPr>
      </w:pPr>
    </w:p>
    <w:p w14:paraId="0EB2B964" w14:textId="77777777" w:rsidR="00376489" w:rsidRPr="00381FA9" w:rsidRDefault="00376489" w:rsidP="00376489">
      <w:pPr>
        <w:jc w:val="both"/>
        <w:rPr>
          <w:rFonts w:ascii="Calibri" w:hAnsi="Calibri" w:cs="Arial"/>
          <w:b/>
          <w:color w:val="0072BC"/>
          <w:sz w:val="20"/>
          <w:szCs w:val="20"/>
        </w:rPr>
      </w:pPr>
      <w:r w:rsidRPr="00381FA9">
        <w:rPr>
          <w:rFonts w:ascii="Calibri" w:hAnsi="Calibri"/>
          <w:b/>
          <w:color w:val="0072BC"/>
          <w:sz w:val="20"/>
          <w:szCs w:val="20"/>
        </w:rPr>
        <w:t>Ejemplo de Cadena de Suministro: Mercados de trigo</w:t>
      </w:r>
    </w:p>
    <w:p w14:paraId="797EED58" w14:textId="77777777" w:rsidR="00376489" w:rsidRPr="00381FA9" w:rsidRDefault="00376489" w:rsidP="00376489">
      <w:pPr>
        <w:jc w:val="center"/>
        <w:rPr>
          <w:rFonts w:ascii="Calibri" w:hAnsi="Calibri" w:cs="Arial"/>
          <w:b/>
          <w:color w:val="0072BC"/>
          <w:sz w:val="20"/>
          <w:szCs w:val="20"/>
        </w:rPr>
      </w:pPr>
      <w:r w:rsidRPr="00381FA9">
        <w:rPr>
          <w:rFonts w:ascii="Calibri" w:hAnsi="Calibri"/>
          <w:i/>
          <w:noProof/>
          <w:color w:val="000000" w:themeColor="text1"/>
          <w:sz w:val="20"/>
          <w:szCs w:val="20"/>
        </w:rPr>
        <w:drawing>
          <wp:inline distT="0" distB="0" distL="0" distR="0" wp14:anchorId="7FD3872E" wp14:editId="70F5F1C9">
            <wp:extent cx="5683487" cy="27527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714901" cy="2767940"/>
                    </a:xfrm>
                    <a:prstGeom prst="rect">
                      <a:avLst/>
                    </a:prstGeom>
                    <a:noFill/>
                    <a:ln>
                      <a:noFill/>
                    </a:ln>
                  </pic:spPr>
                </pic:pic>
              </a:graphicData>
            </a:graphic>
          </wp:inline>
        </w:drawing>
      </w:r>
    </w:p>
    <w:p w14:paraId="156435C4" w14:textId="77777777" w:rsidR="00376489" w:rsidRPr="00381FA9" w:rsidRDefault="00376489" w:rsidP="00376489">
      <w:pPr>
        <w:rPr>
          <w:rFonts w:ascii="Calibri" w:hAnsi="Calibri" w:cs="Arial"/>
          <w:b/>
          <w:color w:val="0072BC"/>
          <w:sz w:val="20"/>
          <w:szCs w:val="20"/>
        </w:rPr>
      </w:pPr>
    </w:p>
    <w:p w14:paraId="406F7027" w14:textId="77777777" w:rsidR="00376489" w:rsidRPr="00381FA9" w:rsidRDefault="00376489" w:rsidP="00376489">
      <w:pPr>
        <w:rPr>
          <w:rFonts w:ascii="Calibri" w:hAnsi="Calibri" w:cs="Arial"/>
          <w:b/>
          <w:color w:val="0072BC"/>
          <w:sz w:val="20"/>
          <w:szCs w:val="20"/>
        </w:rPr>
      </w:pPr>
      <w:r w:rsidRPr="00381FA9">
        <w:rPr>
          <w:rFonts w:ascii="Calibri" w:hAnsi="Calibri"/>
          <w:b/>
          <w:color w:val="0072BC"/>
          <w:sz w:val="20"/>
          <w:szCs w:val="20"/>
        </w:rPr>
        <w:t>Borrador de la cadena de suministro</w:t>
      </w:r>
    </w:p>
    <w:p w14:paraId="0E2E5ABE" w14:textId="77777777" w:rsidR="00376489" w:rsidRPr="00381FA9" w:rsidRDefault="00376489" w:rsidP="00376489">
      <w:pPr>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Desarrollar un Mapa de la Cadena de Suministro para CADA UNO DE LOS BIENES BÁSICOS</w:t>
      </w:r>
    </w:p>
    <w:p w14:paraId="235BE4F2" w14:textId="77777777" w:rsidR="00376489" w:rsidRPr="00381FA9" w:rsidRDefault="00376489" w:rsidP="00376489">
      <w:pPr>
        <w:tabs>
          <w:tab w:val="left" w:pos="2353"/>
        </w:tabs>
        <w:jc w:val="both"/>
        <w:rPr>
          <w:rFonts w:ascii="Calibri" w:hAnsi="Calibri"/>
          <w:sz w:val="20"/>
          <w:szCs w:val="20"/>
        </w:rPr>
      </w:pPr>
      <w:r w:rsidRPr="00381FA9">
        <w:rPr>
          <w:rFonts w:ascii="Calibri" w:hAnsi="Calibri"/>
          <w:sz w:val="20"/>
          <w:szCs w:val="20"/>
        </w:rPr>
        <w:t>Iniciar la cadena de suministro pensando en las conexiones entre los mercados y el movimiento de bienes y servicios. Para ello, consulte el mapa del mercado que se hizo en el Paso 2. Utilizando las siguientes preguntas, elabore el borrador de la cadena de suministro simple incluyendo los actores de la cadena y el movimiento de bienes y servicios entre estos actores.</w:t>
      </w:r>
    </w:p>
    <w:p w14:paraId="176ADB0D" w14:textId="77777777" w:rsidR="00376489" w:rsidRPr="00381FA9" w:rsidRDefault="00376489" w:rsidP="00376489">
      <w:pPr>
        <w:pStyle w:val="Prrafodelista"/>
        <w:numPr>
          <w:ilvl w:val="0"/>
          <w:numId w:val="8"/>
        </w:numPr>
        <w:ind w:left="714" w:hanging="357"/>
        <w:contextualSpacing w:val="0"/>
        <w:rPr>
          <w:rFonts w:ascii="Calibri" w:hAnsi="Calibri" w:cs="Arial"/>
          <w:sz w:val="20"/>
        </w:rPr>
      </w:pPr>
      <w:r w:rsidRPr="00381FA9">
        <w:rPr>
          <w:rFonts w:ascii="Calibri" w:hAnsi="Calibri"/>
          <w:sz w:val="20"/>
        </w:rPr>
        <w:t xml:space="preserve">Puede ser útil imprimir una copia del mapa de ejemplo para todos los miembros del equipo, ya que el objetivo será desarrollar algo similar. </w:t>
      </w:r>
    </w:p>
    <w:p w14:paraId="796251F8" w14:textId="77777777" w:rsidR="00376489" w:rsidRPr="00381FA9" w:rsidRDefault="00376489" w:rsidP="00376489">
      <w:pPr>
        <w:pStyle w:val="Prrafodelista"/>
        <w:numPr>
          <w:ilvl w:val="0"/>
          <w:numId w:val="8"/>
        </w:numPr>
        <w:ind w:left="714" w:hanging="357"/>
        <w:contextualSpacing w:val="0"/>
        <w:rPr>
          <w:rFonts w:ascii="Calibri" w:hAnsi="Calibri" w:cs="Arial"/>
          <w:sz w:val="20"/>
        </w:rPr>
      </w:pPr>
      <w:r w:rsidRPr="00381FA9">
        <w:rPr>
          <w:rFonts w:ascii="Calibri" w:hAnsi="Calibri"/>
          <w:sz w:val="20"/>
        </w:rPr>
        <w:t xml:space="preserve">Recuerde que en este momento no tendrá toda la información y los mapas serán revisados. </w:t>
      </w:r>
    </w:p>
    <w:p w14:paraId="4BEF858A" w14:textId="77777777" w:rsidR="00376489" w:rsidRPr="00381FA9" w:rsidRDefault="00376489" w:rsidP="00376489">
      <w:pPr>
        <w:rPr>
          <w:rFonts w:ascii="Calibri" w:hAnsi="Calibri"/>
          <w:sz w:val="20"/>
          <w:szCs w:val="20"/>
        </w:rPr>
      </w:pPr>
    </w:p>
    <w:p w14:paraId="3EE2CF15"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 xml:space="preserve">Pregunta 1: ¿Es posible agrupar artículos en la lista de compras? </w:t>
      </w:r>
    </w:p>
    <w:p w14:paraId="1E2F2B34"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 xml:space="preserve">Los artículos de la lista de compras pueden agruparse por cadena de suministro si suelen ser suministrados por los mismos minoristas y proveedores y si suelen seguir el mismo trayecto desde la producción hasta los consumidores. </w:t>
      </w:r>
    </w:p>
    <w:p w14:paraId="129923D0" w14:textId="77777777" w:rsidR="00376489" w:rsidRPr="00381FA9" w:rsidRDefault="00376489" w:rsidP="00376489">
      <w:pPr>
        <w:widowControl w:val="0"/>
        <w:autoSpaceDE w:val="0"/>
        <w:autoSpaceDN w:val="0"/>
        <w:adjustRightInd w:val="0"/>
        <w:jc w:val="both"/>
        <w:rPr>
          <w:rFonts w:ascii="Calibri" w:hAnsi="Calibri"/>
          <w:color w:val="000000" w:themeColor="text1"/>
          <w:sz w:val="20"/>
          <w:szCs w:val="20"/>
        </w:rPr>
      </w:pPr>
    </w:p>
    <w:p w14:paraId="17FFA5B3"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 xml:space="preserve">Pregunta 2: ¿Quiénes son los actores que manejan los bienes y servicios y qué hacen? </w:t>
      </w:r>
    </w:p>
    <w:p w14:paraId="45849447" w14:textId="77777777" w:rsidR="00376489" w:rsidRPr="00381FA9" w:rsidRDefault="00376489" w:rsidP="00376489">
      <w:pPr>
        <w:widowControl w:val="0"/>
        <w:autoSpaceDE w:val="0"/>
        <w:autoSpaceDN w:val="0"/>
        <w:adjustRightInd w:val="0"/>
        <w:jc w:val="both"/>
        <w:rPr>
          <w:rFonts w:ascii="Calibri" w:hAnsi="Calibri"/>
          <w:sz w:val="20"/>
          <w:szCs w:val="20"/>
        </w:rPr>
      </w:pPr>
      <w:r w:rsidRPr="00381FA9">
        <w:rPr>
          <w:rFonts w:ascii="Calibri" w:hAnsi="Calibri"/>
          <w:sz w:val="20"/>
          <w:szCs w:val="20"/>
        </w:rPr>
        <w:t xml:space="preserve">Nombre los actores </w:t>
      </w:r>
      <w:proofErr w:type="gramStart"/>
      <w:r w:rsidRPr="00381FA9">
        <w:rPr>
          <w:rFonts w:ascii="Calibri" w:hAnsi="Calibri"/>
          <w:sz w:val="20"/>
          <w:szCs w:val="20"/>
        </w:rPr>
        <w:t>de acuerdo a</w:t>
      </w:r>
      <w:proofErr w:type="gramEnd"/>
      <w:r w:rsidRPr="00381FA9">
        <w:rPr>
          <w:rFonts w:ascii="Calibri" w:hAnsi="Calibri"/>
          <w:sz w:val="20"/>
          <w:szCs w:val="20"/>
        </w:rPr>
        <w:t xml:space="preserve"> la actividad que realizan. Limítese a los actores más importantes (trate de no superar 6-8). </w:t>
      </w:r>
    </w:p>
    <w:p w14:paraId="0A392FE1" w14:textId="77777777" w:rsidR="00376489" w:rsidRPr="00381FA9" w:rsidRDefault="00376489" w:rsidP="00376489">
      <w:pPr>
        <w:widowControl w:val="0"/>
        <w:autoSpaceDE w:val="0"/>
        <w:autoSpaceDN w:val="0"/>
        <w:adjustRightInd w:val="0"/>
        <w:jc w:val="both"/>
        <w:rPr>
          <w:rFonts w:ascii="Calibri" w:hAnsi="Calibri"/>
          <w:sz w:val="20"/>
          <w:szCs w:val="20"/>
        </w:rPr>
      </w:pPr>
    </w:p>
    <w:tbl>
      <w:tblPr>
        <w:tblStyle w:val="Sombreadoclaro-nfasis2"/>
        <w:tblW w:w="0" w:type="auto"/>
        <w:jc w:val="center"/>
        <w:tblLook w:val="04A0" w:firstRow="1" w:lastRow="0" w:firstColumn="1" w:lastColumn="0" w:noHBand="0" w:noVBand="1"/>
      </w:tblPr>
      <w:tblGrid>
        <w:gridCol w:w="6864"/>
      </w:tblGrid>
      <w:tr w:rsidR="00376489" w:rsidRPr="00381FA9" w14:paraId="0CBEFD4D" w14:textId="77777777" w:rsidTr="004F6C3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6864" w:type="dxa"/>
            <w:vAlign w:val="center"/>
          </w:tcPr>
          <w:p w14:paraId="4EEE742C" w14:textId="77777777" w:rsidR="00376489" w:rsidRPr="00381FA9" w:rsidRDefault="00376489" w:rsidP="004F6C3A">
            <w:pPr>
              <w:widowControl w:val="0"/>
              <w:autoSpaceDE w:val="0"/>
              <w:autoSpaceDN w:val="0"/>
              <w:adjustRightInd w:val="0"/>
              <w:ind w:left="-516" w:firstLine="516"/>
              <w:rPr>
                <w:rFonts w:ascii="Calibri" w:hAnsi="Calibri" w:cs="Arial"/>
                <w:color w:val="595959" w:themeColor="text1" w:themeTint="A6"/>
                <w:sz w:val="20"/>
                <w:szCs w:val="20"/>
              </w:rPr>
            </w:pPr>
            <w:r w:rsidRPr="00381FA9">
              <w:rPr>
                <w:rFonts w:ascii="Calibri" w:hAnsi="Calibri"/>
                <w:color w:val="595959" w:themeColor="text1" w:themeTint="A6"/>
                <w:sz w:val="20"/>
                <w:szCs w:val="20"/>
              </w:rPr>
              <w:t xml:space="preserve">Ejemplo de actores del mercado en un mercado de harina de trigo: </w:t>
            </w:r>
          </w:p>
          <w:p w14:paraId="2CEBA6FC" w14:textId="77777777" w:rsidR="00376489" w:rsidRPr="00381FA9" w:rsidRDefault="00376489" w:rsidP="00376489">
            <w:pPr>
              <w:pStyle w:val="Prrafodelista"/>
              <w:widowControl w:val="0"/>
              <w:numPr>
                <w:ilvl w:val="0"/>
                <w:numId w:val="7"/>
              </w:numPr>
              <w:autoSpaceDE w:val="0"/>
              <w:autoSpaceDN w:val="0"/>
              <w:adjustRightInd w:val="0"/>
              <w:ind w:right="1779"/>
              <w:rPr>
                <w:rFonts w:ascii="Calibri" w:hAnsi="Calibri" w:cs="Arial"/>
                <w:b w:val="0"/>
                <w:color w:val="595959" w:themeColor="text1" w:themeTint="A6"/>
                <w:sz w:val="20"/>
              </w:rPr>
            </w:pPr>
            <w:r w:rsidRPr="00381FA9">
              <w:rPr>
                <w:rFonts w:ascii="Calibri" w:hAnsi="Calibri"/>
                <w:b w:val="0"/>
                <w:color w:val="595959" w:themeColor="text1" w:themeTint="A6"/>
                <w:sz w:val="20"/>
              </w:rPr>
              <w:t>Importadores/exportadores</w:t>
            </w:r>
          </w:p>
          <w:p w14:paraId="6771D3B5" w14:textId="77777777" w:rsidR="00376489" w:rsidRPr="00381FA9" w:rsidRDefault="00376489" w:rsidP="00376489">
            <w:pPr>
              <w:pStyle w:val="Prrafodelista"/>
              <w:widowControl w:val="0"/>
              <w:numPr>
                <w:ilvl w:val="0"/>
                <w:numId w:val="7"/>
              </w:numPr>
              <w:autoSpaceDE w:val="0"/>
              <w:autoSpaceDN w:val="0"/>
              <w:adjustRightInd w:val="0"/>
              <w:ind w:right="1779"/>
              <w:rPr>
                <w:rFonts w:ascii="Calibri" w:hAnsi="Calibri" w:cs="Arial"/>
                <w:b w:val="0"/>
                <w:color w:val="595959" w:themeColor="text1" w:themeTint="A6"/>
                <w:sz w:val="20"/>
              </w:rPr>
            </w:pPr>
            <w:r w:rsidRPr="00381FA9">
              <w:rPr>
                <w:rFonts w:ascii="Calibri" w:hAnsi="Calibri"/>
                <w:b w:val="0"/>
                <w:color w:val="595959" w:themeColor="text1" w:themeTint="A6"/>
                <w:sz w:val="20"/>
              </w:rPr>
              <w:t>Productores (grandes y pequeños agricultores)</w:t>
            </w:r>
          </w:p>
          <w:p w14:paraId="14D3AF82" w14:textId="77777777" w:rsidR="00376489" w:rsidRPr="00381FA9" w:rsidRDefault="00376489" w:rsidP="00376489">
            <w:pPr>
              <w:pStyle w:val="Prrafodelista"/>
              <w:widowControl w:val="0"/>
              <w:numPr>
                <w:ilvl w:val="0"/>
                <w:numId w:val="7"/>
              </w:numPr>
              <w:autoSpaceDE w:val="0"/>
              <w:autoSpaceDN w:val="0"/>
              <w:adjustRightInd w:val="0"/>
              <w:rPr>
                <w:rFonts w:ascii="Calibri" w:hAnsi="Calibri" w:cs="Arial"/>
                <w:b w:val="0"/>
                <w:color w:val="595959" w:themeColor="text1" w:themeTint="A6"/>
                <w:sz w:val="20"/>
              </w:rPr>
            </w:pPr>
            <w:r w:rsidRPr="00381FA9">
              <w:rPr>
                <w:rFonts w:ascii="Calibri" w:hAnsi="Calibri"/>
                <w:b w:val="0"/>
                <w:color w:val="595959" w:themeColor="text1" w:themeTint="A6"/>
                <w:sz w:val="20"/>
              </w:rPr>
              <w:t>Procesadores (molinos centrales y locales)</w:t>
            </w:r>
          </w:p>
          <w:p w14:paraId="1800BF28" w14:textId="77777777" w:rsidR="00376489" w:rsidRPr="00381FA9" w:rsidRDefault="00376489" w:rsidP="00376489">
            <w:pPr>
              <w:pStyle w:val="Prrafodelista"/>
              <w:widowControl w:val="0"/>
              <w:numPr>
                <w:ilvl w:val="0"/>
                <w:numId w:val="7"/>
              </w:numPr>
              <w:autoSpaceDE w:val="0"/>
              <w:autoSpaceDN w:val="0"/>
              <w:adjustRightInd w:val="0"/>
              <w:rPr>
                <w:rFonts w:ascii="Calibri" w:hAnsi="Calibri" w:cs="Arial"/>
                <w:b w:val="0"/>
                <w:color w:val="595959" w:themeColor="text1" w:themeTint="A6"/>
                <w:sz w:val="20"/>
              </w:rPr>
            </w:pPr>
            <w:r w:rsidRPr="00381FA9">
              <w:rPr>
                <w:rFonts w:ascii="Calibri" w:hAnsi="Calibri"/>
                <w:b w:val="0"/>
                <w:color w:val="595959" w:themeColor="text1" w:themeTint="A6"/>
                <w:sz w:val="20"/>
              </w:rPr>
              <w:t>Comerciantes del distrito / Vendedores al por mayor</w:t>
            </w:r>
          </w:p>
          <w:p w14:paraId="6FB22C75" w14:textId="77777777" w:rsidR="00376489" w:rsidRPr="00381FA9" w:rsidRDefault="00376489" w:rsidP="00376489">
            <w:pPr>
              <w:pStyle w:val="Prrafodelista"/>
              <w:widowControl w:val="0"/>
              <w:numPr>
                <w:ilvl w:val="0"/>
                <w:numId w:val="7"/>
              </w:numPr>
              <w:autoSpaceDE w:val="0"/>
              <w:autoSpaceDN w:val="0"/>
              <w:adjustRightInd w:val="0"/>
              <w:rPr>
                <w:rFonts w:ascii="Calibri" w:hAnsi="Calibri" w:cs="Arial"/>
                <w:b w:val="0"/>
                <w:color w:val="595959" w:themeColor="text1" w:themeTint="A6"/>
                <w:sz w:val="20"/>
              </w:rPr>
            </w:pPr>
            <w:r w:rsidRPr="00381FA9">
              <w:rPr>
                <w:rFonts w:ascii="Calibri" w:hAnsi="Calibri"/>
                <w:b w:val="0"/>
                <w:color w:val="595959" w:themeColor="text1" w:themeTint="A6"/>
                <w:sz w:val="20"/>
              </w:rPr>
              <w:t>Minoristas (urbanos y rurales)</w:t>
            </w:r>
          </w:p>
          <w:p w14:paraId="216076EC" w14:textId="77777777" w:rsidR="00376489" w:rsidRPr="00381FA9" w:rsidRDefault="00376489" w:rsidP="00376489">
            <w:pPr>
              <w:pStyle w:val="Prrafodelista"/>
              <w:widowControl w:val="0"/>
              <w:numPr>
                <w:ilvl w:val="0"/>
                <w:numId w:val="7"/>
              </w:numPr>
              <w:autoSpaceDE w:val="0"/>
              <w:autoSpaceDN w:val="0"/>
              <w:adjustRightInd w:val="0"/>
              <w:rPr>
                <w:rFonts w:ascii="Calibri" w:hAnsi="Calibri"/>
                <w:color w:val="595959" w:themeColor="text1" w:themeTint="A6"/>
                <w:sz w:val="20"/>
              </w:rPr>
            </w:pPr>
            <w:r w:rsidRPr="00381FA9">
              <w:rPr>
                <w:rFonts w:ascii="Calibri" w:hAnsi="Calibri"/>
                <w:b w:val="0"/>
                <w:color w:val="595959" w:themeColor="text1" w:themeTint="A6"/>
                <w:sz w:val="20"/>
              </w:rPr>
              <w:t>Consumidores (urbanos y rurales, campamentos de refugiados, aldeas) y enumerados por tipo de consumidor (refugiados/locales)</w:t>
            </w:r>
            <w:r w:rsidRPr="00381FA9">
              <w:rPr>
                <w:rFonts w:ascii="Calibri" w:hAnsi="Calibri"/>
                <w:color w:val="595959" w:themeColor="text1" w:themeTint="A6"/>
                <w:sz w:val="20"/>
              </w:rPr>
              <w:t xml:space="preserve"> </w:t>
            </w:r>
          </w:p>
        </w:tc>
      </w:tr>
    </w:tbl>
    <w:p w14:paraId="160823FB" w14:textId="77777777" w:rsidR="00376489" w:rsidRPr="00381FA9" w:rsidRDefault="00376489" w:rsidP="00376489">
      <w:pPr>
        <w:rPr>
          <w:rFonts w:ascii="Calibri" w:hAnsi="Calibri" w:cs="Arial"/>
          <w:b/>
          <w:color w:val="0072BC"/>
          <w:sz w:val="20"/>
          <w:szCs w:val="20"/>
        </w:rPr>
      </w:pPr>
    </w:p>
    <w:p w14:paraId="5158FFB7" w14:textId="77777777" w:rsidR="00376489" w:rsidRPr="00381FA9" w:rsidRDefault="00376489" w:rsidP="00376489">
      <w:pPr>
        <w:pStyle w:val="Prrafodelista"/>
        <w:numPr>
          <w:ilvl w:val="0"/>
          <w:numId w:val="8"/>
        </w:numPr>
        <w:ind w:left="714" w:hanging="357"/>
        <w:contextualSpacing w:val="0"/>
        <w:rPr>
          <w:rFonts w:ascii="Calibri" w:hAnsi="Calibri" w:cs="Arial"/>
          <w:sz w:val="20"/>
        </w:rPr>
      </w:pPr>
      <w:r w:rsidRPr="00381FA9">
        <w:rPr>
          <w:rFonts w:ascii="Calibri" w:hAnsi="Calibri"/>
          <w:sz w:val="20"/>
        </w:rPr>
        <w:t xml:space="preserve">Asegúrese de que todos los equipos estén utilizando las mismas definiciones / descripciones para los operadores de diferentes tamaños. </w:t>
      </w:r>
    </w:p>
    <w:p w14:paraId="5E56FDC6" w14:textId="551962C3" w:rsidR="00376489" w:rsidRPr="00381FA9" w:rsidRDefault="00376489" w:rsidP="00376489">
      <w:pPr>
        <w:pStyle w:val="Prrafodelista"/>
        <w:numPr>
          <w:ilvl w:val="0"/>
          <w:numId w:val="8"/>
        </w:numPr>
        <w:ind w:left="714" w:hanging="357"/>
        <w:contextualSpacing w:val="0"/>
        <w:rPr>
          <w:rFonts w:ascii="Calibri" w:eastAsia="Times New Roman" w:hAnsi="Calibri" w:cs="Times New Roman"/>
          <w:sz w:val="20"/>
        </w:rPr>
      </w:pPr>
      <w:r w:rsidRPr="00381FA9">
        <w:rPr>
          <w:rFonts w:ascii="Calibri" w:hAnsi="Calibri"/>
          <w:sz w:val="20"/>
        </w:rPr>
        <w:t xml:space="preserve">El cuadro que representa al consumidor puede indicar tanto a las comunidades locales como a las desplazadas. La </w:t>
      </w:r>
      <w:r w:rsidR="00381FA9" w:rsidRPr="00381FA9">
        <w:rPr>
          <w:rFonts w:ascii="Calibri" w:hAnsi="Calibri"/>
          <w:sz w:val="20"/>
        </w:rPr>
        <w:t>decisión</w:t>
      </w:r>
      <w:r w:rsidRPr="00381FA9">
        <w:rPr>
          <w:rFonts w:ascii="Calibri" w:hAnsi="Calibri"/>
          <w:sz w:val="20"/>
        </w:rPr>
        <w:t xml:space="preserve"> acerca de si se debe representar conjuntamente a las poblaciones desplazadas y locales dependerá en gran medida del contexto de la evaluación. </w:t>
      </w:r>
    </w:p>
    <w:p w14:paraId="4A527D28" w14:textId="77777777" w:rsidR="00376489" w:rsidRPr="00381FA9" w:rsidRDefault="00376489" w:rsidP="00376489">
      <w:pPr>
        <w:pStyle w:val="Prrafodelista"/>
        <w:ind w:left="714"/>
        <w:contextualSpacing w:val="0"/>
        <w:rPr>
          <w:rFonts w:ascii="Calibri" w:eastAsia="Times New Roman" w:hAnsi="Calibri" w:cs="Times New Roman"/>
          <w:sz w:val="20"/>
        </w:rPr>
      </w:pPr>
    </w:p>
    <w:p w14:paraId="59983468" w14:textId="77777777" w:rsidR="00376489" w:rsidRPr="00381FA9" w:rsidRDefault="00376489" w:rsidP="00376489">
      <w:pPr>
        <w:tabs>
          <w:tab w:val="left" w:pos="2353"/>
        </w:tabs>
        <w:jc w:val="both"/>
        <w:rPr>
          <w:rFonts w:ascii="Calibri" w:eastAsia="Times New Roman" w:hAnsi="Calibri" w:cs="Arial"/>
          <w:sz w:val="20"/>
          <w:szCs w:val="20"/>
        </w:rPr>
      </w:pPr>
      <w:r w:rsidRPr="00381FA9">
        <w:rPr>
          <w:rFonts w:ascii="Calibri" w:hAnsi="Calibri"/>
          <w:sz w:val="20"/>
          <w:szCs w:val="20"/>
        </w:rPr>
        <w:lastRenderedPageBreak/>
        <w:t>Lo que más importa es que el mapa que se está desarrollando tenga sentido para el equipo de evaluación y que entiendan lo que representa.</w:t>
      </w:r>
    </w:p>
    <w:p w14:paraId="3F1F618F" w14:textId="77777777" w:rsidR="00376489" w:rsidRPr="00381FA9" w:rsidRDefault="00376489" w:rsidP="00376489">
      <w:pPr>
        <w:tabs>
          <w:tab w:val="left" w:pos="2353"/>
        </w:tabs>
        <w:jc w:val="both"/>
        <w:rPr>
          <w:rFonts w:ascii="Calibri" w:eastAsia="Times New Roman" w:hAnsi="Calibri" w:cs="Arial"/>
          <w:sz w:val="20"/>
          <w:szCs w:val="20"/>
        </w:rPr>
      </w:pPr>
    </w:p>
    <w:p w14:paraId="31EE7461"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 xml:space="preserve">Pregunta 3: ¿Cómo se mueven los bienes y servicios en la cadena de mercado?  </w:t>
      </w:r>
    </w:p>
    <w:p w14:paraId="23F38761"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Es importante identificar la dirección en la que fluyen los bienes/servicios del productor al consumidor final. Un bien puede fluir en diferentes direcciones dependiendo del tamaño, la especialización y la ubicación de los actores, entre otros factores.</w:t>
      </w:r>
    </w:p>
    <w:p w14:paraId="509D5B6B" w14:textId="77777777" w:rsidR="00376489" w:rsidRPr="00381FA9" w:rsidRDefault="00376489" w:rsidP="00376489">
      <w:pPr>
        <w:widowControl w:val="0"/>
        <w:autoSpaceDE w:val="0"/>
        <w:autoSpaceDN w:val="0"/>
        <w:adjustRightInd w:val="0"/>
        <w:jc w:val="both"/>
        <w:rPr>
          <w:rFonts w:ascii="Calibri" w:hAnsi="Calibri"/>
          <w:b/>
          <w:i/>
          <w:color w:val="00B398" w:themeColor="accent2"/>
          <w:sz w:val="20"/>
          <w:szCs w:val="20"/>
        </w:rPr>
      </w:pPr>
      <w:r w:rsidRPr="00381FA9">
        <w:rPr>
          <w:rFonts w:ascii="Calibri" w:hAnsi="Calibri"/>
          <w:b/>
          <w:i/>
          <w:noProof/>
          <w:color w:val="00B398" w:themeColor="accent2"/>
          <w:sz w:val="20"/>
          <w:szCs w:val="20"/>
        </w:rPr>
        <mc:AlternateContent>
          <mc:Choice Requires="wpg">
            <w:drawing>
              <wp:inline distT="0" distB="0" distL="0" distR="0" wp14:anchorId="26499273" wp14:editId="4A0F48E0">
                <wp:extent cx="5270500" cy="1675731"/>
                <wp:effectExtent l="0" t="0" r="25400" b="58420"/>
                <wp:docPr id="445" name="Group 47"/>
                <wp:cNvGraphicFramePr/>
                <a:graphic xmlns:a="http://schemas.openxmlformats.org/drawingml/2006/main">
                  <a:graphicData uri="http://schemas.microsoft.com/office/word/2010/wordprocessingGroup">
                    <wpg:wgp>
                      <wpg:cNvGrpSpPr/>
                      <wpg:grpSpPr>
                        <a:xfrm>
                          <a:off x="0" y="0"/>
                          <a:ext cx="5270500" cy="1675731"/>
                          <a:chOff x="0" y="0"/>
                          <a:chExt cx="5509683" cy="1538059"/>
                        </a:xfrm>
                      </wpg:grpSpPr>
                      <wps:wsp>
                        <wps:cNvPr id="446" name="Rounded Rectangle 446"/>
                        <wps:cNvSpPr/>
                        <wps:spPr>
                          <a:xfrm>
                            <a:off x="0" y="131345"/>
                            <a:ext cx="651803" cy="395368"/>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541B7A20" w14:textId="77777777" w:rsidR="00376489" w:rsidRPr="00CB6D96" w:rsidRDefault="00376489" w:rsidP="00CB6D96">
                              <w:pPr>
                                <w:pStyle w:val="NormalWeb"/>
                                <w:spacing w:before="0" w:beforeAutospacing="0" w:after="0" w:afterAutospacing="0"/>
                                <w:ind w:right="-100"/>
                                <w:jc w:val="center"/>
                                <w:rPr>
                                  <w:sz w:val="18"/>
                                  <w:szCs w:val="18"/>
                                </w:rPr>
                              </w:pPr>
                              <w:r w:rsidRPr="00CB6D96">
                                <w:rPr>
                                  <w:rFonts w:ascii="Calibri" w:hAnsi="Calibri"/>
                                  <w:color w:val="000000"/>
                                  <w:sz w:val="14"/>
                                  <w:szCs w:val="14"/>
                                </w:rPr>
                                <w:t>Pequeños agricultores</w:t>
                              </w:r>
                            </w:p>
                          </w:txbxContent>
                        </wps:txbx>
                        <wps:bodyPr rtlCol="0" anchor="ctr"/>
                      </wps:wsp>
                      <wps:wsp>
                        <wps:cNvPr id="447" name="Rounded Rectangle 447"/>
                        <wps:cNvSpPr/>
                        <wps:spPr>
                          <a:xfrm>
                            <a:off x="24266" y="617566"/>
                            <a:ext cx="651803" cy="432000"/>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670F28E2"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Agricultores más grandes</w:t>
                              </w:r>
                            </w:p>
                          </w:txbxContent>
                        </wps:txbx>
                        <wps:bodyPr rtlCol="0" anchor="ctr"/>
                      </wps:wsp>
                      <wps:wsp>
                        <wps:cNvPr id="448" name="Rounded Rectangle 448"/>
                        <wps:cNvSpPr/>
                        <wps:spPr>
                          <a:xfrm>
                            <a:off x="1214339" y="169931"/>
                            <a:ext cx="719999" cy="341895"/>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624B1DF9"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Molinos locales</w:t>
                              </w:r>
                            </w:p>
                          </w:txbxContent>
                        </wps:txbx>
                        <wps:bodyPr rtlCol="0" anchor="ctr"/>
                      </wps:wsp>
                      <wps:wsp>
                        <wps:cNvPr id="449" name="Rounded Rectangle 449"/>
                        <wps:cNvSpPr/>
                        <wps:spPr>
                          <a:xfrm>
                            <a:off x="3052356" y="81108"/>
                            <a:ext cx="790883" cy="430902"/>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3654553A"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 xml:space="preserve">Minoristas rurales </w:t>
                              </w:r>
                            </w:p>
                          </w:txbxContent>
                        </wps:txbx>
                        <wps:bodyPr rtlCol="0" anchor="ctr"/>
                      </wps:wsp>
                      <wps:wsp>
                        <wps:cNvPr id="450" name="Rounded Rectangle 450"/>
                        <wps:cNvSpPr/>
                        <wps:spPr>
                          <a:xfrm>
                            <a:off x="1133295" y="664932"/>
                            <a:ext cx="683999" cy="421388"/>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77DBB951" w14:textId="51BD7D8A" w:rsidR="00376489" w:rsidRPr="00CB6D96" w:rsidRDefault="00376489" w:rsidP="00CB6D96">
                              <w:pPr>
                                <w:pStyle w:val="NormalWeb"/>
                                <w:spacing w:before="0" w:beforeAutospacing="0" w:after="0" w:afterAutospacing="0"/>
                                <w:ind w:left="-142" w:right="-53"/>
                                <w:jc w:val="center"/>
                                <w:rPr>
                                  <w:sz w:val="18"/>
                                  <w:szCs w:val="18"/>
                                </w:rPr>
                              </w:pPr>
                              <w:r w:rsidRPr="00CB6D96">
                                <w:rPr>
                                  <w:rFonts w:ascii="Calibri" w:hAnsi="Calibri"/>
                                  <w:color w:val="000000"/>
                                  <w:sz w:val="14"/>
                                  <w:szCs w:val="14"/>
                                </w:rPr>
                                <w:t>Grandes molinos de harina</w:t>
                              </w:r>
                            </w:p>
                          </w:txbxContent>
                        </wps:txbx>
                        <wps:bodyPr rtlCol="0" anchor="ctr"/>
                      </wps:wsp>
                      <wps:wsp>
                        <wps:cNvPr id="451" name="Rounded Rectangle 451"/>
                        <wps:cNvSpPr/>
                        <wps:spPr>
                          <a:xfrm>
                            <a:off x="4318197" y="0"/>
                            <a:ext cx="1191486" cy="457947"/>
                          </a:xfrm>
                          <a:prstGeom prst="roundRect">
                            <a:avLst/>
                          </a:prstGeom>
                        </wps:spPr>
                        <wps:style>
                          <a:lnRef idx="1">
                            <a:schemeClr val="accent2"/>
                          </a:lnRef>
                          <a:fillRef idx="2">
                            <a:schemeClr val="accent2"/>
                          </a:fillRef>
                          <a:effectRef idx="1">
                            <a:schemeClr val="accent2"/>
                          </a:effectRef>
                          <a:fontRef idx="minor">
                            <a:schemeClr val="dk1"/>
                          </a:fontRef>
                        </wps:style>
                        <wps:txbx>
                          <w:txbxContent>
                            <w:p w14:paraId="080DB030"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Población rural</w:t>
                              </w:r>
                            </w:p>
                            <w:p w14:paraId="102CD930"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(incl 1 campamento de refugiados)</w:t>
                              </w:r>
                            </w:p>
                          </w:txbxContent>
                        </wps:txbx>
                        <wps:bodyPr rtlCol="0" anchor="ctr"/>
                      </wps:wsp>
                      <wps:wsp>
                        <wps:cNvPr id="452" name="Rounded Rectangle 452"/>
                        <wps:cNvSpPr/>
                        <wps:spPr>
                          <a:xfrm>
                            <a:off x="2293912" y="663965"/>
                            <a:ext cx="651803" cy="395611"/>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1C7C0E5F" w14:textId="77777777" w:rsidR="00376489" w:rsidRPr="00CB6D96" w:rsidRDefault="00376489" w:rsidP="00CB6D96">
                              <w:pPr>
                                <w:pStyle w:val="NormalWeb"/>
                                <w:spacing w:before="0" w:beforeAutospacing="0" w:after="0" w:afterAutospacing="0"/>
                                <w:ind w:left="-142" w:right="-100"/>
                                <w:jc w:val="center"/>
                                <w:rPr>
                                  <w:sz w:val="18"/>
                                  <w:szCs w:val="18"/>
                                </w:rPr>
                              </w:pPr>
                              <w:r w:rsidRPr="00CB6D96">
                                <w:rPr>
                                  <w:rFonts w:ascii="Calibri" w:hAnsi="Calibri"/>
                                  <w:color w:val="000000"/>
                                  <w:sz w:val="14"/>
                                  <w:szCs w:val="14"/>
                                </w:rPr>
                                <w:t>Comerciantes de distrito</w:t>
                              </w:r>
                            </w:p>
                          </w:txbxContent>
                        </wps:txbx>
                        <wps:bodyPr rtlCol="0" anchor="ctr"/>
                      </wps:wsp>
                      <wps:wsp>
                        <wps:cNvPr id="453" name="Rounded Rectangle 453"/>
                        <wps:cNvSpPr/>
                        <wps:spPr>
                          <a:xfrm>
                            <a:off x="3374828" y="649291"/>
                            <a:ext cx="791999" cy="431612"/>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5AA83BC5"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Minoristas urbanos</w:t>
                              </w:r>
                            </w:p>
                          </w:txbxContent>
                        </wps:txbx>
                        <wps:bodyPr rtlCol="0" anchor="ctr"/>
                      </wps:wsp>
                      <wps:wsp>
                        <wps:cNvPr id="454" name="Rounded Rectangle 454"/>
                        <wps:cNvSpPr/>
                        <wps:spPr>
                          <a:xfrm>
                            <a:off x="4591781" y="644979"/>
                            <a:ext cx="917543" cy="590853"/>
                          </a:xfrm>
                          <a:prstGeom prst="roundRect">
                            <a:avLst/>
                          </a:prstGeom>
                        </wps:spPr>
                        <wps:style>
                          <a:lnRef idx="1">
                            <a:schemeClr val="accent2"/>
                          </a:lnRef>
                          <a:fillRef idx="2">
                            <a:schemeClr val="accent2"/>
                          </a:fillRef>
                          <a:effectRef idx="1">
                            <a:schemeClr val="accent2"/>
                          </a:effectRef>
                          <a:fontRef idx="minor">
                            <a:schemeClr val="dk1"/>
                          </a:fontRef>
                        </wps:style>
                        <wps:txbx>
                          <w:txbxContent>
                            <w:p w14:paraId="2A62BBE7"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Población urbana</w:t>
                              </w:r>
                            </w:p>
                            <w:p w14:paraId="28CF5B39" w14:textId="77777777" w:rsidR="00376489" w:rsidRPr="00CB6D96" w:rsidRDefault="00376489" w:rsidP="00376489">
                              <w:pPr>
                                <w:pStyle w:val="NormalWeb"/>
                                <w:spacing w:before="0" w:beforeAutospacing="0" w:after="0" w:afterAutospacing="0"/>
                                <w:jc w:val="center"/>
                                <w:rPr>
                                  <w:sz w:val="18"/>
                                  <w:szCs w:val="18"/>
                                </w:rPr>
                              </w:pPr>
                              <w:r w:rsidRPr="00CB6D96">
                                <w:rPr>
                                  <w:rFonts w:asciiTheme="minorHAnsi" w:hAnsi="Cambria"/>
                                  <w:color w:val="000000"/>
                                  <w:sz w:val="14"/>
                                  <w:szCs w:val="14"/>
                                </w:rPr>
                                <w:t>(local + refugiados)</w:t>
                              </w:r>
                            </w:p>
                          </w:txbxContent>
                        </wps:txbx>
                        <wps:bodyPr rtlCol="0" anchor="ctr"/>
                      </wps:wsp>
                      <wps:wsp>
                        <wps:cNvPr id="455" name="Straight Arrow Connector 455"/>
                        <wps:cNvCnPr/>
                        <wps:spPr>
                          <a:xfrm flipV="1">
                            <a:off x="3843237" y="306381"/>
                            <a:ext cx="474961" cy="2493"/>
                          </a:xfrm>
                          <a:prstGeom prst="straightConnector1">
                            <a:avLst/>
                          </a:prstGeom>
                          <a:ln w="28575" cmpd="sng">
                            <a:prstDash val="solid"/>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56" name="Straight Arrow Connector 456"/>
                        <wps:cNvCnPr/>
                        <wps:spPr>
                          <a:xfrm flipV="1">
                            <a:off x="1817294" y="861771"/>
                            <a:ext cx="476618" cy="1205"/>
                          </a:xfrm>
                          <a:prstGeom prst="straightConnector1">
                            <a:avLst/>
                          </a:prstGeom>
                          <a:ln w="28575" cmpd="sng">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57" name="Straight Arrow Connector 457"/>
                        <wps:cNvCnPr/>
                        <wps:spPr>
                          <a:xfrm>
                            <a:off x="657019" y="788185"/>
                            <a:ext cx="476276" cy="74791"/>
                          </a:xfrm>
                          <a:prstGeom prst="straightConnector1">
                            <a:avLst/>
                          </a:prstGeom>
                          <a:ln w="28575" cmpd="sng">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58" name="Straight Arrow Connector 458"/>
                        <wps:cNvCnPr/>
                        <wps:spPr>
                          <a:xfrm>
                            <a:off x="676069" y="271592"/>
                            <a:ext cx="538270" cy="1"/>
                          </a:xfrm>
                          <a:prstGeom prst="straightConnector1">
                            <a:avLst/>
                          </a:prstGeom>
                          <a:ln w="28575" cmpd="sng">
                            <a:prstDash val="solid"/>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59" name="Straight Arrow Connector 459"/>
                        <wps:cNvCnPr/>
                        <wps:spPr>
                          <a:xfrm>
                            <a:off x="2945715" y="861771"/>
                            <a:ext cx="429113" cy="3326"/>
                          </a:xfrm>
                          <a:prstGeom prst="straightConnector1">
                            <a:avLst/>
                          </a:prstGeom>
                          <a:ln w="28575" cmpd="sng">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60" name="Straight Arrow Connector 460"/>
                        <wps:cNvCnPr/>
                        <wps:spPr>
                          <a:xfrm flipV="1">
                            <a:off x="4166826" y="868544"/>
                            <a:ext cx="412274" cy="5020"/>
                          </a:xfrm>
                          <a:prstGeom prst="straightConnector1">
                            <a:avLst/>
                          </a:prstGeom>
                          <a:ln w="28575" cmpd="sng">
                            <a:prstDash val="solid"/>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61" name="Rounded Rectangle 461"/>
                        <wps:cNvSpPr/>
                        <wps:spPr>
                          <a:xfrm>
                            <a:off x="1534" y="1142446"/>
                            <a:ext cx="719999" cy="395613"/>
                          </a:xfrm>
                          <a:prstGeom prst="roundRect">
                            <a:avLst/>
                          </a:prstGeom>
                        </wps:spPr>
                        <wps:style>
                          <a:lnRef idx="2">
                            <a:schemeClr val="accent2"/>
                          </a:lnRef>
                          <a:fillRef idx="1">
                            <a:schemeClr val="lt1"/>
                          </a:fillRef>
                          <a:effectRef idx="0">
                            <a:schemeClr val="accent2"/>
                          </a:effectRef>
                          <a:fontRef idx="minor">
                            <a:schemeClr val="dk1"/>
                          </a:fontRef>
                        </wps:style>
                        <wps:txbx>
                          <w:txbxContent>
                            <w:p w14:paraId="215E3A55" w14:textId="77777777" w:rsidR="00376489" w:rsidRPr="00CB6D96" w:rsidRDefault="00376489" w:rsidP="00CB6D96">
                              <w:pPr>
                                <w:pStyle w:val="NormalWeb"/>
                                <w:spacing w:before="0" w:beforeAutospacing="0" w:after="0" w:afterAutospacing="0"/>
                                <w:ind w:left="-142" w:right="-143"/>
                                <w:jc w:val="center"/>
                                <w:rPr>
                                  <w:sz w:val="18"/>
                                  <w:szCs w:val="18"/>
                                </w:rPr>
                              </w:pPr>
                              <w:r w:rsidRPr="00CB6D96">
                                <w:rPr>
                                  <w:rFonts w:ascii="Calibri" w:hAnsi="Calibri"/>
                                  <w:color w:val="000000"/>
                                  <w:sz w:val="14"/>
                                  <w:szCs w:val="14"/>
                                </w:rPr>
                                <w:t>Importadores/Exportadores</w:t>
                              </w:r>
                            </w:p>
                          </w:txbxContent>
                        </wps:txbx>
                        <wps:bodyPr rtlCol="0" anchor="ctr"/>
                      </wps:wsp>
                      <wps:wsp>
                        <wps:cNvPr id="462" name="Straight Arrow Connector 462"/>
                        <wps:cNvCnPr/>
                        <wps:spPr>
                          <a:xfrm flipV="1">
                            <a:off x="753283" y="1080903"/>
                            <a:ext cx="432496" cy="252999"/>
                          </a:xfrm>
                          <a:prstGeom prst="straightConnector1">
                            <a:avLst/>
                          </a:prstGeom>
                          <a:ln w="28575" cmpd="sng">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63" name="Straight Arrow Connector 463"/>
                        <wps:cNvCnPr/>
                        <wps:spPr>
                          <a:xfrm flipV="1">
                            <a:off x="1934339" y="296559"/>
                            <a:ext cx="1118017" cy="9683"/>
                          </a:xfrm>
                          <a:prstGeom prst="straightConnector1">
                            <a:avLst/>
                          </a:prstGeom>
                          <a:ln w="28575" cmpd="sng">
                            <a:prstDash val="solid"/>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64" name="Straight Arrow Connector 464"/>
                        <wps:cNvCnPr/>
                        <wps:spPr>
                          <a:xfrm flipH="1">
                            <a:off x="753283" y="1060781"/>
                            <a:ext cx="694602" cy="406069"/>
                          </a:xfrm>
                          <a:prstGeom prst="straightConnector1">
                            <a:avLst/>
                          </a:prstGeom>
                          <a:ln w="28575" cmpd="sng">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65" name="Straight Arrow Connector 465"/>
                        <wps:cNvCnPr/>
                        <wps:spPr>
                          <a:xfrm flipV="1">
                            <a:off x="2619814" y="406399"/>
                            <a:ext cx="464292" cy="257566"/>
                          </a:xfrm>
                          <a:prstGeom prst="straightConnector1">
                            <a:avLst/>
                          </a:prstGeom>
                          <a:ln w="28575" cmpd="sng">
                            <a:prstDash val="solid"/>
                            <a:headEnd type="none"/>
                            <a:tailEnd type="triangle"/>
                          </a:ln>
                        </wps:spPr>
                        <wps:style>
                          <a:lnRef idx="1">
                            <a:schemeClr val="accent2"/>
                          </a:lnRef>
                          <a:fillRef idx="0">
                            <a:schemeClr val="accent2"/>
                          </a:fillRef>
                          <a:effectRef idx="0">
                            <a:schemeClr val="accent2"/>
                          </a:effectRef>
                          <a:fontRef idx="minor">
                            <a:schemeClr val="tx1"/>
                          </a:fontRef>
                        </wps:style>
                        <wps:bodyPr/>
                      </wps:wsp>
                      <wps:wsp>
                        <wps:cNvPr id="466" name="Straight Arrow Connector 466"/>
                        <wps:cNvCnPr/>
                        <wps:spPr>
                          <a:xfrm flipH="1" flipV="1">
                            <a:off x="650669" y="359610"/>
                            <a:ext cx="563670" cy="1"/>
                          </a:xfrm>
                          <a:prstGeom prst="straightConnector1">
                            <a:avLst/>
                          </a:prstGeom>
                          <a:ln w="28575" cmpd="sng">
                            <a:prstDash val="solid"/>
                            <a:headEnd type="none"/>
                            <a:tailEnd type="triangle"/>
                          </a:ln>
                        </wps:spPr>
                        <wps:style>
                          <a:lnRef idx="1">
                            <a:schemeClr val="accent2"/>
                          </a:lnRef>
                          <a:fillRef idx="0">
                            <a:schemeClr val="accent2"/>
                          </a:fillRef>
                          <a:effectRef idx="0">
                            <a:schemeClr val="accent2"/>
                          </a:effectRef>
                          <a:fontRef idx="minor">
                            <a:schemeClr val="tx1"/>
                          </a:fontRef>
                        </wps:style>
                        <wps:bodyPr/>
                      </wps:wsp>
                    </wpg:wgp>
                  </a:graphicData>
                </a:graphic>
              </wp:inline>
            </w:drawing>
          </mc:Choice>
          <mc:Fallback>
            <w:pict>
              <v:group w14:anchorId="26499273" id="Group 47" o:spid="_x0000_s1026" style="width:415pt;height:131.95pt;mso-position-horizontal-relative:char;mso-position-vertical-relative:line" coordsize="55096,153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">
                <v:roundrect id="Rounded Rectangle 446" o:spid="_x0000_s1027" style="position:absolute;top:1313;width:6518;height:39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" fillcolor="white [3201]" strokecolor="#00b398 [3205]" strokeweight="1pt">
                  <v:stroke joinstyle="miter"/>
                  <v:textbox>
                    <w:txbxContent>
                      <w:p w14:paraId="541B7A20" w14:textId="77777777" w:rsidR="00376489" w:rsidRPr="00CB6D96" w:rsidRDefault="00376489" w:rsidP="00CB6D96">
                        <w:pPr>
                          <w:pStyle w:val="NormalWeb"/>
                          <w:spacing w:before="0" w:beforeAutospacing="0" w:after="0" w:afterAutospacing="0"/>
                          <w:ind w:right="-100"/>
                          <w:jc w:val="center"/>
                          <w:rPr>
                            <w:sz w:val="18"/>
                            <w:szCs w:val="18"/>
                          </w:rPr>
                        </w:pPr>
                        <w:r w:rsidRPr="00CB6D96">
                          <w:rPr>
                            <w:rFonts w:ascii="Calibri" w:hAnsi="Calibri"/>
                            <w:color w:val="000000"/>
                            <w:sz w:val="14"/>
                            <w:szCs w:val="14"/>
                          </w:rPr>
                          <w:t>Pequeños agricultores</w:t>
                        </w:r>
                      </w:p>
                    </w:txbxContent>
                  </v:textbox>
                </v:roundrect>
                <v:roundrect id="Rounded Rectangle 447" o:spid="_x0000_s1028" style="position:absolute;left:242;top:6175;width:6518;height:432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" fillcolor="white [3201]" strokecolor="#00b398 [3205]" strokeweight="1pt">
                  <v:stroke joinstyle="miter"/>
                  <v:textbox>
                    <w:txbxContent>
                      <w:p w14:paraId="670F28E2"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Agricultores más grandes</w:t>
                        </w:r>
                      </w:p>
                    </w:txbxContent>
                  </v:textbox>
                </v:roundrect>
                <v:roundrect id="Rounded Rectangle 448" o:spid="_x0000_s1029" style="position:absolute;left:12143;top:1699;width:7200;height:341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" fillcolor="white [3201]" strokecolor="#00b398 [3205]" strokeweight="1pt">
                  <v:stroke joinstyle="miter"/>
                  <v:textbox>
                    <w:txbxContent>
                      <w:p w14:paraId="624B1DF9"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Molinos locales</w:t>
                        </w:r>
                      </w:p>
                    </w:txbxContent>
                  </v:textbox>
                </v:roundrect>
                <v:roundrect id="Rounded Rectangle 449" o:spid="_x0000_s1030" style="position:absolute;left:30523;top:811;width:7909;height:43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" fillcolor="white [3201]" strokecolor="#00b398 [3205]" strokeweight="1pt">
                  <v:stroke joinstyle="miter"/>
                  <v:textbox>
                    <w:txbxContent>
                      <w:p w14:paraId="3654553A"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 xml:space="preserve">Minoristas rurales </w:t>
                        </w:r>
                      </w:p>
                    </w:txbxContent>
                  </v:textbox>
                </v:roundrect>
                <v:roundrect id="Rounded Rectangle 450" o:spid="_x0000_s1031" style="position:absolute;left:11332;top:6649;width:6840;height:421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" fillcolor="white [3201]" strokecolor="#00b398 [3205]" strokeweight="1pt">
                  <v:stroke joinstyle="miter"/>
                  <v:textbox>
                    <w:txbxContent>
                      <w:p w14:paraId="77DBB951" w14:textId="51BD7D8A" w:rsidR="00376489" w:rsidRPr="00CB6D96" w:rsidRDefault="00376489" w:rsidP="00CB6D96">
                        <w:pPr>
                          <w:pStyle w:val="NormalWeb"/>
                          <w:spacing w:before="0" w:beforeAutospacing="0" w:after="0" w:afterAutospacing="0"/>
                          <w:ind w:left="-142" w:right="-53"/>
                          <w:jc w:val="center"/>
                          <w:rPr>
                            <w:sz w:val="18"/>
                            <w:szCs w:val="18"/>
                          </w:rPr>
                        </w:pPr>
                        <w:r w:rsidRPr="00CB6D96">
                          <w:rPr>
                            <w:rFonts w:ascii="Calibri" w:hAnsi="Calibri"/>
                            <w:color w:val="000000"/>
                            <w:sz w:val="14"/>
                            <w:szCs w:val="14"/>
                          </w:rPr>
                          <w:t>Grandes molinos de harina</w:t>
                        </w:r>
                      </w:p>
                    </w:txbxContent>
                  </v:textbox>
                </v:roundrect>
                <v:roundrect id="Rounded Rectangle 451" o:spid="_x0000_s1032" style="position:absolute;left:43181;width:11915;height:45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" fillcolor="#2fd [2165]" strokecolor="#00b398 [3205]" strokeweight=".5pt">
                  <v:fill color2="#00f2cd [2613]" rotate="t" colors="0 #9bddcc;.5 #8ed3c1;1 #79d1bb" focus="100%" type="gradient">
                    <o:fill v:ext="view" type="gradientUnscaled"/>
                  </v:fill>
                  <v:stroke joinstyle="miter"/>
                  <v:textbox>
                    <w:txbxContent>
                      <w:p w14:paraId="080DB030"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Población rural</w:t>
                        </w:r>
                      </w:p>
                      <w:p w14:paraId="102CD930"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(incl 1 campamento de refugiados)</w:t>
                        </w:r>
                      </w:p>
                    </w:txbxContent>
                  </v:textbox>
                </v:roundrect>
                <v:roundrect id="Rounded Rectangle 452" o:spid="_x0000_s1033" style="position:absolute;left:22939;top:6639;width:6518;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" fillcolor="white [3201]" strokecolor="#00b398 [3205]" strokeweight="1pt">
                  <v:stroke joinstyle="miter"/>
                  <v:textbox>
                    <w:txbxContent>
                      <w:p w14:paraId="1C7C0E5F" w14:textId="77777777" w:rsidR="00376489" w:rsidRPr="00CB6D96" w:rsidRDefault="00376489" w:rsidP="00CB6D96">
                        <w:pPr>
                          <w:pStyle w:val="NormalWeb"/>
                          <w:spacing w:before="0" w:beforeAutospacing="0" w:after="0" w:afterAutospacing="0"/>
                          <w:ind w:left="-142" w:right="-100"/>
                          <w:jc w:val="center"/>
                          <w:rPr>
                            <w:sz w:val="18"/>
                            <w:szCs w:val="18"/>
                          </w:rPr>
                        </w:pPr>
                        <w:r w:rsidRPr="00CB6D96">
                          <w:rPr>
                            <w:rFonts w:ascii="Calibri" w:hAnsi="Calibri"/>
                            <w:color w:val="000000"/>
                            <w:sz w:val="14"/>
                            <w:szCs w:val="14"/>
                          </w:rPr>
                          <w:t>Comerciantes de distrito</w:t>
                        </w:r>
                      </w:p>
                    </w:txbxContent>
                  </v:textbox>
                </v:roundrect>
                <v:roundrect id="Rounded Rectangle 453" o:spid="_x0000_s1034" style="position:absolute;left:33748;top:6492;width:7920;height:431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" fillcolor="white [3201]" strokecolor="#00b398 [3205]" strokeweight="1pt">
                  <v:stroke joinstyle="miter"/>
                  <v:textbox>
                    <w:txbxContent>
                      <w:p w14:paraId="5AA83BC5"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Minoristas urbanos</w:t>
                        </w:r>
                      </w:p>
                    </w:txbxContent>
                  </v:textbox>
                </v:roundrect>
                <v:roundrect id="Rounded Rectangle 454" o:spid="_x0000_s1035" style="position:absolute;left:45917;top:6449;width:9176;height:590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" fillcolor="#2fd [2165]" strokecolor="#00b398 [3205]" strokeweight=".5pt">
                  <v:fill color2="#00f2cd [2613]" rotate="t" colors="0 #9bddcc;.5 #8ed3c1;1 #79d1bb" focus="100%" type="gradient">
                    <o:fill v:ext="view" type="gradientUnscaled"/>
                  </v:fill>
                  <v:stroke joinstyle="miter"/>
                  <v:textbox>
                    <w:txbxContent>
                      <w:p w14:paraId="2A62BBE7" w14:textId="77777777" w:rsidR="00376489" w:rsidRPr="00CB6D96" w:rsidRDefault="00376489" w:rsidP="00376489">
                        <w:pPr>
                          <w:pStyle w:val="NormalWeb"/>
                          <w:spacing w:before="0" w:beforeAutospacing="0" w:after="0" w:afterAutospacing="0"/>
                          <w:jc w:val="center"/>
                          <w:rPr>
                            <w:sz w:val="18"/>
                            <w:szCs w:val="18"/>
                          </w:rPr>
                        </w:pPr>
                        <w:r w:rsidRPr="00CB6D96">
                          <w:rPr>
                            <w:rFonts w:ascii="Calibri" w:hAnsi="Calibri"/>
                            <w:color w:val="000000"/>
                            <w:sz w:val="14"/>
                            <w:szCs w:val="14"/>
                          </w:rPr>
                          <w:t>Población urbana</w:t>
                        </w:r>
                      </w:p>
                      <w:p w14:paraId="28CF5B39" w14:textId="77777777" w:rsidR="00376489" w:rsidRPr="00CB6D96" w:rsidRDefault="00376489" w:rsidP="00376489">
                        <w:pPr>
                          <w:pStyle w:val="NormalWeb"/>
                          <w:spacing w:before="0" w:beforeAutospacing="0" w:after="0" w:afterAutospacing="0"/>
                          <w:jc w:val="center"/>
                          <w:rPr>
                            <w:sz w:val="18"/>
                            <w:szCs w:val="18"/>
                          </w:rPr>
                        </w:pPr>
                        <w:r w:rsidRPr="00CB6D96">
                          <w:rPr>
                            <w:rFonts w:asciiTheme="minorHAnsi" w:hAnsi="Cambria"/>
                            <w:color w:val="000000"/>
                            <w:sz w:val="14"/>
                            <w:szCs w:val="14"/>
                          </w:rPr>
                          <w:t>(local + refugiados)</w:t>
                        </w:r>
                      </w:p>
                    </w:txbxContent>
                  </v:textbox>
                </v:roundrect>
                <v:shapetype id="_x0000_t32" coordsize="21600,21600" o:spt="32" o:oned="t" path="m,l21600,21600e" filled="f">
                  <v:path arrowok="t" fillok="f" o:connecttype="none"/>
                  <o:lock v:ext="edit" shapetype="t"/>
                </v:shapetype>
                <v:shape id="Straight Arrow Connector 455" o:spid="_x0000_s1036" type="#_x0000_t32" style="position:absolute;left:38432;top:3063;width:4749;height:2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" strokecolor="#00b398 [3205]" strokeweight="2.25pt">
                  <v:stroke endarrow="block" joinstyle="miter"/>
                </v:shape>
                <v:shape id="Straight Arrow Connector 456" o:spid="_x0000_s1037" type="#_x0000_t32" style="position:absolute;left:18172;top:8617;width:4767;height:1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" strokecolor="#00b398 [3205]" strokeweight="2.25pt">
                  <v:stroke endarrow="block" joinstyle="miter"/>
                </v:shape>
                <v:shape id="Straight Arrow Connector 457" o:spid="_x0000_s1038" type="#_x0000_t32" style="position:absolute;left:6570;top:7881;width:4762;height:74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" strokecolor="#00b398 [3205]" strokeweight="2.25pt">
                  <v:stroke endarrow="block" joinstyle="miter"/>
                </v:shape>
                <v:shape id="Straight Arrow Connector 458" o:spid="_x0000_s1039" type="#_x0000_t32" style="position:absolute;left:6760;top:2715;width:53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" strokecolor="#00b398 [3205]" strokeweight="2.25pt">
                  <v:stroke endarrow="block" joinstyle="miter"/>
                </v:shape>
                <v:shape id="Straight Arrow Connector 459" o:spid="_x0000_s1040" type="#_x0000_t32" style="position:absolute;left:29457;top:8617;width:4291;height:3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" strokecolor="#00b398 [3205]" strokeweight="2.25pt">
                  <v:stroke endarrow="block" joinstyle="miter"/>
                </v:shape>
                <v:shape id="Straight Arrow Connector 460" o:spid="_x0000_s1041" type="#_x0000_t32" style="position:absolute;left:41668;top:8685;width:4123;height: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" strokecolor="#00b398 [3205]" strokeweight="2.25pt">
                  <v:stroke endarrow="block" joinstyle="miter"/>
                </v:shape>
                <v:roundrect id="Rounded Rectangle 461" o:spid="_x0000_s1042" style="position:absolute;left:15;top:11424;width:7200;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" fillcolor="white [3201]" strokecolor="#00b398 [3205]" strokeweight="1pt">
                  <v:stroke joinstyle="miter"/>
                  <v:textbox>
                    <w:txbxContent>
                      <w:p w14:paraId="215E3A55" w14:textId="77777777" w:rsidR="00376489" w:rsidRPr="00CB6D96" w:rsidRDefault="00376489" w:rsidP="00CB6D96">
                        <w:pPr>
                          <w:pStyle w:val="NormalWeb"/>
                          <w:spacing w:before="0" w:beforeAutospacing="0" w:after="0" w:afterAutospacing="0"/>
                          <w:ind w:left="-142" w:right="-143"/>
                          <w:jc w:val="center"/>
                          <w:rPr>
                            <w:sz w:val="18"/>
                            <w:szCs w:val="18"/>
                          </w:rPr>
                        </w:pPr>
                        <w:r w:rsidRPr="00CB6D96">
                          <w:rPr>
                            <w:rFonts w:ascii="Calibri" w:hAnsi="Calibri"/>
                            <w:color w:val="000000"/>
                            <w:sz w:val="14"/>
                            <w:szCs w:val="14"/>
                          </w:rPr>
                          <w:t>Importadores/Exportadores</w:t>
                        </w:r>
                      </w:p>
                    </w:txbxContent>
                  </v:textbox>
                </v:roundrect>
                <v:shape id="Straight Arrow Connector 462" o:spid="_x0000_s1043" type="#_x0000_t32" style="position:absolute;left:7532;top:10809;width:4325;height:253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" strokecolor="#00b398 [3205]" strokeweight="2.25pt">
                  <v:stroke endarrow="block" joinstyle="miter"/>
                </v:shape>
                <v:shape id="Straight Arrow Connector 463" o:spid="_x0000_s1044" type="#_x0000_t32" style="position:absolute;left:19343;top:2965;width:11180;height:9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" strokecolor="#00b398 [3205]" strokeweight="2.25pt">
                  <v:stroke endarrow="block" joinstyle="miter"/>
                </v:shape>
                <v:shape id="Straight Arrow Connector 464" o:spid="_x0000_s1045" type="#_x0000_t32" style="position:absolute;left:7532;top:10607;width:6946;height:406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" strokecolor="#00b398 [3205]" strokeweight="2.25pt">
                  <v:stroke endarrow="block" joinstyle="miter"/>
                </v:shape>
                <v:shape id="Straight Arrow Connector 465" o:spid="_x0000_s1046" type="#_x0000_t32" style="position:absolute;left:26198;top:4063;width:4643;height:257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" strokecolor="#00b398 [3205]" strokeweight="2.25pt">
                  <v:stroke endarrow="block" joinstyle="miter"/>
                </v:shape>
                <v:shape id="Straight Arrow Connector 466" o:spid="_x0000_s1047" type="#_x0000_t32" style="position:absolute;left:6506;top:3596;width:5637;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" strokecolor="#00b398 [3205]" strokeweight="2.25pt">
                  <v:stroke endarrow="block" joinstyle="miter"/>
                </v:shape>
                <w10:anchorlock/>
              </v:group>
            </w:pict>
          </mc:Fallback>
        </mc:AlternateContent>
      </w:r>
    </w:p>
    <w:p w14:paraId="3FC90724" w14:textId="77777777" w:rsidR="00376489" w:rsidRPr="00381FA9" w:rsidRDefault="00376489" w:rsidP="00376489">
      <w:pPr>
        <w:jc w:val="both"/>
        <w:rPr>
          <w:rFonts w:ascii="Calibri" w:hAnsi="Calibri"/>
          <w:sz w:val="20"/>
          <w:szCs w:val="20"/>
        </w:rPr>
      </w:pPr>
    </w:p>
    <w:tbl>
      <w:tblPr>
        <w:tblStyle w:val="Tablaconcuadrcula"/>
        <w:tblW w:w="10627" w:type="dxa"/>
        <w:tblBorders>
          <w:insideH w:val="none" w:sz="0" w:space="0" w:color="auto"/>
          <w:insideV w:val="none" w:sz="0" w:space="0" w:color="auto"/>
        </w:tblBorders>
        <w:shd w:val="clear" w:color="auto" w:fill="FBDADE" w:themeFill="accent1" w:themeFillTint="33"/>
        <w:tblLook w:val="04A0" w:firstRow="1" w:lastRow="0" w:firstColumn="1" w:lastColumn="0" w:noHBand="0" w:noVBand="1"/>
      </w:tblPr>
      <w:tblGrid>
        <w:gridCol w:w="10627"/>
      </w:tblGrid>
      <w:tr w:rsidR="00376489" w:rsidRPr="00381FA9" w14:paraId="5DD821BD" w14:textId="77777777" w:rsidTr="00376489">
        <w:tc>
          <w:tcPr>
            <w:tcW w:w="10627" w:type="dxa"/>
            <w:shd w:val="clear" w:color="auto" w:fill="E5F0F8" w:themeFill="accent5" w:themeFillTint="33"/>
          </w:tcPr>
          <w:p w14:paraId="1E23BFCE" w14:textId="77777777" w:rsidR="00376489" w:rsidRPr="00381FA9" w:rsidRDefault="00376489" w:rsidP="004F6C3A">
            <w:pPr>
              <w:jc w:val="both"/>
              <w:rPr>
                <w:rFonts w:ascii="Calibri" w:hAnsi="Calibri" w:cs="Arial"/>
                <w:b/>
                <w:i/>
                <w:sz w:val="20"/>
                <w:szCs w:val="20"/>
              </w:rPr>
            </w:pPr>
            <w:r w:rsidRPr="00381FA9">
              <w:rPr>
                <w:rFonts w:ascii="Calibri" w:hAnsi="Calibri"/>
                <w:b/>
                <w:i/>
                <w:sz w:val="20"/>
                <w:szCs w:val="20"/>
              </w:rPr>
              <w:t xml:space="preserve">Tenga en cuenta: </w:t>
            </w:r>
            <w:r w:rsidRPr="00381FA9">
              <w:rPr>
                <w:rFonts w:ascii="Calibri" w:hAnsi="Calibri"/>
                <w:b/>
                <w:bCs/>
                <w:i/>
                <w:sz w:val="20"/>
                <w:szCs w:val="20"/>
              </w:rPr>
              <w:t>Comercio transfronterizo</w:t>
            </w:r>
            <w:r w:rsidRPr="00381FA9">
              <w:rPr>
                <w:rStyle w:val="Refdenotaalpie"/>
                <w:rFonts w:ascii="Calibri" w:hAnsi="Calibri" w:cs="Arial"/>
                <w:sz w:val="20"/>
                <w:szCs w:val="20"/>
              </w:rPr>
              <w:footnoteReference w:id="3"/>
            </w:r>
            <w:r w:rsidRPr="00381FA9">
              <w:rPr>
                <w:rFonts w:ascii="Calibri" w:hAnsi="Calibri"/>
                <w:b/>
                <w:bCs/>
                <w:i/>
                <w:sz w:val="20"/>
                <w:szCs w:val="20"/>
              </w:rPr>
              <w:t xml:space="preserve"> </w:t>
            </w:r>
          </w:p>
          <w:p w14:paraId="5C81FF80" w14:textId="77777777" w:rsidR="00376489" w:rsidRPr="00381FA9" w:rsidRDefault="00376489" w:rsidP="004F6C3A">
            <w:pPr>
              <w:tabs>
                <w:tab w:val="left" w:pos="2353"/>
              </w:tabs>
              <w:jc w:val="both"/>
              <w:rPr>
                <w:rFonts w:ascii="Calibri" w:eastAsia="Times New Roman" w:hAnsi="Calibri" w:cs="Arial"/>
                <w:sz w:val="20"/>
                <w:szCs w:val="20"/>
              </w:rPr>
            </w:pPr>
            <w:r w:rsidRPr="00381FA9">
              <w:rPr>
                <w:rFonts w:ascii="Calibri" w:hAnsi="Calibri"/>
                <w:sz w:val="20"/>
                <w:szCs w:val="20"/>
              </w:rPr>
              <w:t>Muchas poblaciones desplazadas están situadas cerca de fronteras entre países. Aunque el comercio transfronterizo puede no ser grande en comparación con la oferta nacional total, puede ser bastante significativo dentro de una provincia o distrito específico.</w:t>
            </w:r>
            <w:r w:rsidRPr="00381FA9">
              <w:rPr>
                <w:rFonts w:ascii="MS Gothic" w:hAnsi="MS Gothic"/>
                <w:sz w:val="20"/>
                <w:szCs w:val="20"/>
              </w:rPr>
              <w:t> </w:t>
            </w:r>
            <w:r w:rsidRPr="00381FA9">
              <w:rPr>
                <w:rFonts w:ascii="Calibri" w:hAnsi="Calibri"/>
                <w:sz w:val="20"/>
                <w:szCs w:val="20"/>
              </w:rPr>
              <w:t xml:space="preserve"> </w:t>
            </w:r>
          </w:p>
          <w:p w14:paraId="0233BE26" w14:textId="77777777" w:rsidR="00376489" w:rsidRPr="00381FA9" w:rsidRDefault="00376489" w:rsidP="004F6C3A">
            <w:pPr>
              <w:tabs>
                <w:tab w:val="left" w:pos="2353"/>
              </w:tabs>
              <w:jc w:val="both"/>
              <w:rPr>
                <w:rFonts w:ascii="Calibri" w:eastAsia="Times New Roman" w:hAnsi="Calibri" w:cs="Arial"/>
                <w:sz w:val="20"/>
                <w:szCs w:val="20"/>
              </w:rPr>
            </w:pPr>
          </w:p>
          <w:p w14:paraId="161279D2" w14:textId="77777777" w:rsidR="00376489" w:rsidRPr="00381FA9" w:rsidRDefault="00376489" w:rsidP="004F6C3A">
            <w:pPr>
              <w:tabs>
                <w:tab w:val="left" w:pos="2353"/>
              </w:tabs>
              <w:jc w:val="both"/>
              <w:rPr>
                <w:rFonts w:ascii="Calibri" w:eastAsia="Times New Roman" w:hAnsi="Calibri" w:cs="Arial"/>
                <w:sz w:val="20"/>
                <w:szCs w:val="20"/>
              </w:rPr>
            </w:pPr>
            <w:r w:rsidRPr="00381FA9">
              <w:rPr>
                <w:rFonts w:ascii="Calibri" w:hAnsi="Calibri"/>
                <w:sz w:val="20"/>
                <w:szCs w:val="20"/>
              </w:rPr>
              <w:t xml:space="preserve">Siempre que haya flujos transfronterizos formales o informales significativos de bienes y servicios, es importante tener en cuenta la posibilidad de que los bienes y servicios podrían entrar y salir de las zonas fronterizas y de las redes de mercado más amplias a medida que cambien las condiciones del mercado. </w:t>
            </w:r>
          </w:p>
        </w:tc>
      </w:tr>
    </w:tbl>
    <w:p w14:paraId="47934632" w14:textId="77777777" w:rsidR="00376489" w:rsidRPr="00381FA9" w:rsidRDefault="00376489" w:rsidP="00376489">
      <w:pPr>
        <w:widowControl w:val="0"/>
        <w:autoSpaceDE w:val="0"/>
        <w:autoSpaceDN w:val="0"/>
        <w:adjustRightInd w:val="0"/>
        <w:jc w:val="both"/>
        <w:rPr>
          <w:rFonts w:ascii="Calibri" w:hAnsi="Calibri"/>
          <w:b/>
          <w:i/>
          <w:color w:val="00B398" w:themeColor="accent2"/>
          <w:sz w:val="20"/>
          <w:szCs w:val="20"/>
        </w:rPr>
      </w:pPr>
    </w:p>
    <w:p w14:paraId="77F8D3A3"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 xml:space="preserve">Pregunta 4: ¿Cuántos actores de cada tipo hay? </w:t>
      </w:r>
    </w:p>
    <w:p w14:paraId="1FDC0E80"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Los datos recopilados mediante la Herramienta de Análisis de Datos 3 habrán ayudado a responder a esta pregunta. Los mapas ahora representarán cuántos actores de cada tipo están en la cadena y cuán grande es la población objetivo (consumidores o productores).</w:t>
      </w:r>
    </w:p>
    <w:p w14:paraId="582508C2"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p>
    <w:p w14:paraId="1FCDE687"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 xml:space="preserve">Si en este momento no se conocen los números exactos, no es un problema. Incluya lo que se sabe. </w:t>
      </w:r>
      <w:r w:rsidRPr="00381FA9">
        <w:rPr>
          <w:rFonts w:ascii="Calibri" w:hAnsi="Calibri"/>
          <w:b/>
          <w:sz w:val="20"/>
          <w:szCs w:val="20"/>
        </w:rPr>
        <w:t>Cuando haya vacíos en la información, señálelos para su investigación en el próximo paso de evaluación</w:t>
      </w:r>
      <w:r w:rsidRPr="00381FA9">
        <w:rPr>
          <w:rFonts w:ascii="Calibri" w:hAnsi="Calibri"/>
          <w:sz w:val="20"/>
          <w:szCs w:val="20"/>
        </w:rPr>
        <w:t xml:space="preserve">. </w:t>
      </w:r>
    </w:p>
    <w:p w14:paraId="391179AC" w14:textId="77777777" w:rsidR="00376489" w:rsidRPr="00381FA9" w:rsidRDefault="00376489" w:rsidP="00376489">
      <w:pPr>
        <w:widowControl w:val="0"/>
        <w:autoSpaceDE w:val="0"/>
        <w:autoSpaceDN w:val="0"/>
        <w:adjustRightInd w:val="0"/>
        <w:jc w:val="both"/>
        <w:rPr>
          <w:rFonts w:ascii="Calibri" w:hAnsi="Calibri" w:cs="Arial"/>
          <w:b/>
          <w:color w:val="0072BC"/>
          <w:sz w:val="20"/>
          <w:szCs w:val="20"/>
        </w:rPr>
      </w:pPr>
      <w:r w:rsidRPr="00381FA9">
        <w:rPr>
          <w:rFonts w:ascii="Calibri" w:hAnsi="Calibri"/>
          <w:noProof/>
          <w:sz w:val="20"/>
          <w:szCs w:val="20"/>
        </w:rPr>
        <w:drawing>
          <wp:inline distT="0" distB="0" distL="0" distR="0" wp14:anchorId="36BE701C" wp14:editId="42DFC501">
            <wp:extent cx="5677438" cy="164782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 on map.png"/>
                    <pic:cNvPicPr/>
                  </pic:nvPicPr>
                  <pic:blipFill>
                    <a:blip r:embed="rId11" cstate="email">
                      <a:extLst>
                        <a:ext uri="{28A0092B-C50C-407E-A947-70E740481C1C}">
                          <a14:useLocalDpi xmlns:a14="http://schemas.microsoft.com/office/drawing/2010/main"/>
                        </a:ext>
                      </a:extLst>
                    </a:blip>
                    <a:stretch>
                      <a:fillRect/>
                    </a:stretch>
                  </pic:blipFill>
                  <pic:spPr>
                    <a:xfrm>
                      <a:off x="0" y="0"/>
                      <a:ext cx="5685891" cy="1650278"/>
                    </a:xfrm>
                    <a:prstGeom prst="rect">
                      <a:avLst/>
                    </a:prstGeom>
                  </pic:spPr>
                </pic:pic>
              </a:graphicData>
            </a:graphic>
          </wp:inline>
        </w:drawing>
      </w:r>
    </w:p>
    <w:p w14:paraId="6E7590E6" w14:textId="77777777" w:rsidR="00376489" w:rsidRPr="00381FA9" w:rsidRDefault="00376489" w:rsidP="00376489">
      <w:pPr>
        <w:widowControl w:val="0"/>
        <w:autoSpaceDE w:val="0"/>
        <w:autoSpaceDN w:val="0"/>
        <w:adjustRightInd w:val="0"/>
        <w:jc w:val="both"/>
        <w:rPr>
          <w:rFonts w:ascii="Calibri" w:hAnsi="Calibri" w:cs="Arial"/>
          <w:b/>
          <w:color w:val="0072BC"/>
          <w:sz w:val="20"/>
          <w:szCs w:val="20"/>
        </w:rPr>
      </w:pPr>
    </w:p>
    <w:p w14:paraId="2F44CA75" w14:textId="77777777" w:rsidR="00376489" w:rsidRPr="00381FA9" w:rsidRDefault="00376489" w:rsidP="00376489">
      <w:pPr>
        <w:widowControl w:val="0"/>
        <w:autoSpaceDE w:val="0"/>
        <w:autoSpaceDN w:val="0"/>
        <w:adjustRightInd w:val="0"/>
        <w:jc w:val="both"/>
        <w:rPr>
          <w:rFonts w:ascii="Calibri" w:hAnsi="Calibri"/>
          <w:sz w:val="20"/>
          <w:szCs w:val="20"/>
        </w:rPr>
      </w:pPr>
      <w:r w:rsidRPr="00381FA9">
        <w:rPr>
          <w:rFonts w:ascii="Calibri" w:hAnsi="Calibri"/>
          <w:b/>
          <w:color w:val="0072BC"/>
          <w:sz w:val="20"/>
          <w:szCs w:val="20"/>
        </w:rPr>
        <w:t>Mapeo de la cadena de suministro</w:t>
      </w:r>
    </w:p>
    <w:p w14:paraId="7D17AA90" w14:textId="77777777" w:rsidR="00376489" w:rsidRPr="00381FA9" w:rsidRDefault="00376489" w:rsidP="00376489">
      <w:pPr>
        <w:widowControl w:val="0"/>
        <w:autoSpaceDE w:val="0"/>
        <w:autoSpaceDN w:val="0"/>
        <w:adjustRightInd w:val="0"/>
        <w:jc w:val="both"/>
        <w:rPr>
          <w:rFonts w:ascii="Calibri" w:hAnsi="Calibri"/>
          <w:sz w:val="20"/>
          <w:szCs w:val="20"/>
        </w:rPr>
      </w:pPr>
      <w:r w:rsidRPr="00381FA9">
        <w:rPr>
          <w:rFonts w:ascii="Calibri" w:hAnsi="Calibri"/>
          <w:sz w:val="20"/>
          <w:szCs w:val="20"/>
        </w:rPr>
        <w:t xml:space="preserve">Tras una evaluación más detallada, estos mapas se utilizarán para ampliar el borrador del mapa de la cadena de suministro, con el fin de incluir datos adicionales y datos modificados. </w:t>
      </w:r>
    </w:p>
    <w:p w14:paraId="0FF76222" w14:textId="77777777" w:rsidR="00376489" w:rsidRPr="00381FA9" w:rsidRDefault="00376489" w:rsidP="00376489">
      <w:pPr>
        <w:pStyle w:val="Prrafodelista"/>
        <w:numPr>
          <w:ilvl w:val="0"/>
          <w:numId w:val="8"/>
        </w:numPr>
        <w:ind w:left="714" w:hanging="357"/>
        <w:contextualSpacing w:val="0"/>
        <w:rPr>
          <w:rFonts w:ascii="Calibri" w:hAnsi="Calibri" w:cs="Arial"/>
          <w:sz w:val="20"/>
        </w:rPr>
      </w:pPr>
      <w:r w:rsidRPr="00381FA9">
        <w:rPr>
          <w:rFonts w:ascii="Calibri" w:hAnsi="Calibri"/>
          <w:sz w:val="20"/>
        </w:rPr>
        <w:t>Comience por revisar los borradores de mapas y cualquier información secundaria que se haya documentado cuando se elaboró el Borrador del Mapa de la Cadena de Suministro (Preguntas 1-4)</w:t>
      </w:r>
    </w:p>
    <w:p w14:paraId="207C63BB" w14:textId="77777777" w:rsidR="00376489" w:rsidRPr="00381FA9" w:rsidRDefault="00376489" w:rsidP="00376489">
      <w:pPr>
        <w:pStyle w:val="Prrafodelista"/>
        <w:numPr>
          <w:ilvl w:val="0"/>
          <w:numId w:val="8"/>
        </w:numPr>
        <w:ind w:left="714" w:hanging="357"/>
        <w:contextualSpacing w:val="0"/>
        <w:rPr>
          <w:rFonts w:ascii="Calibri" w:hAnsi="Calibri" w:cs="Arial"/>
          <w:sz w:val="20"/>
        </w:rPr>
      </w:pPr>
      <w:r w:rsidRPr="00381FA9">
        <w:rPr>
          <w:rFonts w:ascii="Calibri" w:hAnsi="Calibri"/>
          <w:sz w:val="20"/>
        </w:rPr>
        <w:t>No tenga miedo de volver a elaborar los mapas si es necesario.</w:t>
      </w:r>
    </w:p>
    <w:p w14:paraId="5F0ACB4F" w14:textId="77777777" w:rsidR="00376489" w:rsidRPr="00381FA9" w:rsidRDefault="00376489" w:rsidP="00376489">
      <w:pPr>
        <w:pStyle w:val="Prrafodelista"/>
        <w:numPr>
          <w:ilvl w:val="0"/>
          <w:numId w:val="8"/>
        </w:numPr>
        <w:ind w:left="714" w:hanging="357"/>
        <w:contextualSpacing w:val="0"/>
        <w:rPr>
          <w:rFonts w:ascii="Calibri" w:hAnsi="Calibri" w:cs="Arial"/>
          <w:sz w:val="20"/>
        </w:rPr>
      </w:pPr>
      <w:r w:rsidRPr="00381FA9">
        <w:rPr>
          <w:rFonts w:ascii="Calibri" w:hAnsi="Calibri"/>
          <w:sz w:val="20"/>
        </w:rPr>
        <w:t xml:space="preserve">Haga las siguientes preguntas para continuar desarrollando sus mapas de mercado, </w:t>
      </w:r>
    </w:p>
    <w:p w14:paraId="3C266F64" w14:textId="77777777" w:rsidR="00376489" w:rsidRPr="00381FA9" w:rsidRDefault="00376489" w:rsidP="00376489">
      <w:pPr>
        <w:widowControl w:val="0"/>
        <w:autoSpaceDE w:val="0"/>
        <w:autoSpaceDN w:val="0"/>
        <w:adjustRightInd w:val="0"/>
        <w:jc w:val="both"/>
        <w:rPr>
          <w:rFonts w:ascii="Calibri" w:hAnsi="Calibri"/>
          <w:i/>
          <w:color w:val="595959" w:themeColor="text1" w:themeTint="A6"/>
          <w:sz w:val="20"/>
          <w:szCs w:val="20"/>
        </w:rPr>
      </w:pPr>
    </w:p>
    <w:p w14:paraId="298C1311"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 xml:space="preserve">Pregunta 5: ¿Cuál es el volumen de bienes/servicios en la cadena de mercado? </w:t>
      </w:r>
    </w:p>
    <w:p w14:paraId="7DC42E71"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 xml:space="preserve">El volumen de bienes/servicios que maneja cada actor se representa a continuación en toneladas métricas. Consulte el paso 3 para determinar la unidad de medida.  </w:t>
      </w:r>
    </w:p>
    <w:p w14:paraId="6A3698E3" w14:textId="77777777" w:rsidR="00376489" w:rsidRPr="00381FA9" w:rsidRDefault="00376489" w:rsidP="00376489">
      <w:pPr>
        <w:widowControl w:val="0"/>
        <w:autoSpaceDE w:val="0"/>
        <w:autoSpaceDN w:val="0"/>
        <w:adjustRightInd w:val="0"/>
        <w:jc w:val="both"/>
        <w:rPr>
          <w:rFonts w:ascii="Calibri" w:hAnsi="Calibri"/>
          <w:sz w:val="20"/>
          <w:szCs w:val="20"/>
        </w:rPr>
      </w:pPr>
    </w:p>
    <w:p w14:paraId="4B9435C6" w14:textId="77777777" w:rsidR="00376489" w:rsidRPr="00381FA9" w:rsidRDefault="00376489" w:rsidP="00376489">
      <w:pPr>
        <w:widowControl w:val="0"/>
        <w:autoSpaceDE w:val="0"/>
        <w:autoSpaceDN w:val="0"/>
        <w:adjustRightInd w:val="0"/>
        <w:jc w:val="both"/>
        <w:rPr>
          <w:rFonts w:ascii="Calibri" w:hAnsi="Calibri"/>
          <w:sz w:val="20"/>
          <w:szCs w:val="20"/>
        </w:rPr>
      </w:pPr>
      <w:r w:rsidRPr="00381FA9">
        <w:rPr>
          <w:rFonts w:ascii="Calibri" w:hAnsi="Calibri"/>
          <w:noProof/>
          <w:sz w:val="20"/>
          <w:szCs w:val="20"/>
        </w:rPr>
        <w:lastRenderedPageBreak/>
        <w:drawing>
          <wp:inline distT="0" distB="0" distL="0" distR="0" wp14:anchorId="1D95813F" wp14:editId="0B8C051D">
            <wp:extent cx="5701768" cy="1552575"/>
            <wp:effectExtent l="0" t="0" r="0" b="0"/>
            <wp:docPr id="3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5706037" cy="1553737"/>
                    </a:xfrm>
                    <a:prstGeom prst="rect">
                      <a:avLst/>
                    </a:prstGeom>
                    <a:noFill/>
                    <a:ln>
                      <a:noFill/>
                    </a:ln>
                  </pic:spPr>
                </pic:pic>
              </a:graphicData>
            </a:graphic>
          </wp:inline>
        </w:drawing>
      </w:r>
    </w:p>
    <w:p w14:paraId="0FDFC9B2" w14:textId="77777777" w:rsidR="00376489" w:rsidRPr="00381FA9" w:rsidRDefault="00376489" w:rsidP="00376489">
      <w:pPr>
        <w:widowControl w:val="0"/>
        <w:autoSpaceDE w:val="0"/>
        <w:autoSpaceDN w:val="0"/>
        <w:adjustRightInd w:val="0"/>
        <w:jc w:val="both"/>
        <w:rPr>
          <w:rFonts w:ascii="Calibri" w:hAnsi="Calibri"/>
          <w:sz w:val="20"/>
          <w:szCs w:val="20"/>
        </w:rPr>
      </w:pPr>
    </w:p>
    <w:p w14:paraId="17496033"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 xml:space="preserve">Pregunta 6: ¿Cómo cambia el valor monetario a lo largo de la cadena? </w:t>
      </w:r>
    </w:p>
    <w:p w14:paraId="74FC3048"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El valor monetario se puede mostrar como el precio al que se venden los bienes o servicios. Utilice la unidad acordada según las especificaciones</w:t>
      </w:r>
    </w:p>
    <w:p w14:paraId="09D53D5C" w14:textId="77777777" w:rsidR="00376489" w:rsidRPr="00381FA9" w:rsidRDefault="00376489" w:rsidP="00376489">
      <w:pPr>
        <w:widowControl w:val="0"/>
        <w:autoSpaceDE w:val="0"/>
        <w:autoSpaceDN w:val="0"/>
        <w:adjustRightInd w:val="0"/>
        <w:jc w:val="center"/>
        <w:rPr>
          <w:rFonts w:ascii="Calibri" w:eastAsia="Times New Roman" w:hAnsi="Calibri" w:cs="Arial"/>
          <w:sz w:val="20"/>
          <w:szCs w:val="20"/>
        </w:rPr>
      </w:pPr>
      <w:r w:rsidRPr="00381FA9">
        <w:rPr>
          <w:rFonts w:ascii="Calibri" w:hAnsi="Calibri"/>
          <w:noProof/>
          <w:sz w:val="20"/>
          <w:szCs w:val="20"/>
        </w:rPr>
        <w:drawing>
          <wp:inline distT="0" distB="0" distL="0" distR="0" wp14:anchorId="15ACD7FE" wp14:editId="22E6F66E">
            <wp:extent cx="5701768" cy="1552575"/>
            <wp:effectExtent l="0" t="0" r="0" b="0"/>
            <wp:docPr id="39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5704256" cy="1553252"/>
                    </a:xfrm>
                    <a:prstGeom prst="rect">
                      <a:avLst/>
                    </a:prstGeom>
                    <a:noFill/>
                    <a:ln>
                      <a:noFill/>
                    </a:ln>
                  </pic:spPr>
                </pic:pic>
              </a:graphicData>
            </a:graphic>
          </wp:inline>
        </w:drawing>
      </w:r>
    </w:p>
    <w:p w14:paraId="549FA7FF"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p>
    <w:p w14:paraId="0BFCB69C"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 xml:space="preserve">También se puede mostrar como el valor que se agrega en cada paso de la cadena.  La deducción de la diferencia de precios a lo largo de la cadena de suministro llevará a una visión general de los márgenes en los diferentes pasos. </w:t>
      </w:r>
    </w:p>
    <w:p w14:paraId="78F63165" w14:textId="77777777" w:rsidR="00376489" w:rsidRPr="00381FA9" w:rsidRDefault="00376489" w:rsidP="00376489">
      <w:pPr>
        <w:widowControl w:val="0"/>
        <w:autoSpaceDE w:val="0"/>
        <w:autoSpaceDN w:val="0"/>
        <w:adjustRightInd w:val="0"/>
        <w:jc w:val="both"/>
        <w:rPr>
          <w:rFonts w:ascii="Calibri" w:hAnsi="Calibri"/>
          <w:sz w:val="20"/>
          <w:szCs w:val="20"/>
        </w:rPr>
      </w:pPr>
    </w:p>
    <w:p w14:paraId="17D1EEC6"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Pregunta 7: ¿Qué tipos de relaciones y vínculos existen?</w:t>
      </w:r>
    </w:p>
    <w:p w14:paraId="6BC1D7CD"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Las relaciones o los vínculos entre los agentes del mercado generalmente se ajustan a una de tres tipologías básicas:</w:t>
      </w:r>
    </w:p>
    <w:p w14:paraId="0680C452" w14:textId="77777777" w:rsidR="00376489" w:rsidRPr="00381FA9" w:rsidRDefault="00376489" w:rsidP="00376489">
      <w:pPr>
        <w:pStyle w:val="Prrafodelista"/>
        <w:widowControl w:val="0"/>
        <w:numPr>
          <w:ilvl w:val="0"/>
          <w:numId w:val="9"/>
        </w:numPr>
        <w:autoSpaceDE w:val="0"/>
        <w:autoSpaceDN w:val="0"/>
        <w:adjustRightInd w:val="0"/>
        <w:ind w:left="284" w:hanging="284"/>
        <w:contextualSpacing w:val="0"/>
        <w:jc w:val="both"/>
        <w:rPr>
          <w:rFonts w:ascii="Calibri" w:hAnsi="Calibri" w:cs="Arial"/>
          <w:sz w:val="20"/>
        </w:rPr>
      </w:pPr>
      <w:r w:rsidRPr="00381FA9">
        <w:rPr>
          <w:rFonts w:ascii="Calibri" w:hAnsi="Calibri"/>
          <w:sz w:val="20"/>
          <w:u w:val="single"/>
        </w:rPr>
        <w:t>Las relaciones de mercado al contado (spot)</w:t>
      </w:r>
      <w:r w:rsidRPr="00381FA9">
        <w:rPr>
          <w:rFonts w:ascii="Calibri" w:hAnsi="Calibri"/>
          <w:sz w:val="20"/>
        </w:rPr>
        <w:t xml:space="preserve"> se crean «in situ», es decir, los agentes realizan una transacción (incluidas las negociaciones sobre precios, volumen y otros requisitos) con una duración y un alcance específicos. </w:t>
      </w:r>
    </w:p>
    <w:p w14:paraId="14F8202F" w14:textId="77777777" w:rsidR="00376489" w:rsidRPr="00381FA9" w:rsidRDefault="00376489" w:rsidP="00376489">
      <w:pPr>
        <w:pStyle w:val="Prrafodelista"/>
        <w:widowControl w:val="0"/>
        <w:numPr>
          <w:ilvl w:val="0"/>
          <w:numId w:val="9"/>
        </w:numPr>
        <w:autoSpaceDE w:val="0"/>
        <w:autoSpaceDN w:val="0"/>
        <w:adjustRightInd w:val="0"/>
        <w:ind w:left="284" w:hanging="284"/>
        <w:contextualSpacing w:val="0"/>
        <w:jc w:val="both"/>
        <w:rPr>
          <w:rFonts w:ascii="Calibri" w:hAnsi="Calibri" w:cs="Arial"/>
          <w:sz w:val="20"/>
        </w:rPr>
      </w:pPr>
      <w:r w:rsidRPr="00381FA9">
        <w:rPr>
          <w:rFonts w:ascii="Calibri" w:hAnsi="Calibri"/>
          <w:sz w:val="20"/>
          <w:u w:val="single"/>
        </w:rPr>
        <w:t xml:space="preserve">Las relaciones de red persistentes </w:t>
      </w:r>
      <w:r w:rsidRPr="00381FA9">
        <w:rPr>
          <w:rFonts w:ascii="Calibri" w:hAnsi="Calibri"/>
          <w:sz w:val="20"/>
        </w:rPr>
        <w:t>se producen cuando los actores tienen preferencia por actuar persistentemente entre sí. Estas relaciones requieren un mayor nivel de confianza y cierto nivel de interdependencia, y pueden formalizarse mediante contratos.</w:t>
      </w:r>
    </w:p>
    <w:p w14:paraId="0DF76CDD" w14:textId="77777777" w:rsidR="00376489" w:rsidRPr="00381FA9" w:rsidRDefault="00376489" w:rsidP="00376489">
      <w:pPr>
        <w:pStyle w:val="Prrafodelista"/>
        <w:widowControl w:val="0"/>
        <w:numPr>
          <w:ilvl w:val="0"/>
          <w:numId w:val="9"/>
        </w:numPr>
        <w:autoSpaceDE w:val="0"/>
        <w:autoSpaceDN w:val="0"/>
        <w:adjustRightInd w:val="0"/>
        <w:ind w:left="284" w:hanging="284"/>
        <w:contextualSpacing w:val="0"/>
        <w:jc w:val="both"/>
        <w:rPr>
          <w:rFonts w:ascii="Calibri" w:hAnsi="Calibri" w:cs="Arial"/>
          <w:sz w:val="20"/>
        </w:rPr>
      </w:pPr>
      <w:r w:rsidRPr="00381FA9">
        <w:rPr>
          <w:rFonts w:ascii="Calibri" w:hAnsi="Calibri"/>
          <w:sz w:val="20"/>
          <w:u w:val="single"/>
        </w:rPr>
        <w:t>La integración horizontal</w:t>
      </w:r>
      <w:r w:rsidRPr="00381FA9">
        <w:rPr>
          <w:rFonts w:ascii="Calibri" w:hAnsi="Calibri"/>
          <w:sz w:val="20"/>
        </w:rPr>
        <w:t xml:space="preserve"> va más allá de la definición de una “relación”. Ocurre cuando los actores involucrados comparten la misma propiedad (legal), y la misma organización (una empresa, una cooperativa, etc.) se ocupa de diferentes procesos en toda la cadena de mercado. </w:t>
      </w:r>
    </w:p>
    <w:p w14:paraId="68182031" w14:textId="77777777" w:rsidR="00376489" w:rsidRPr="00381FA9" w:rsidRDefault="00376489" w:rsidP="00376489">
      <w:pPr>
        <w:pStyle w:val="Prrafodelista"/>
        <w:widowControl w:val="0"/>
        <w:autoSpaceDE w:val="0"/>
        <w:autoSpaceDN w:val="0"/>
        <w:adjustRightInd w:val="0"/>
        <w:ind w:left="284"/>
        <w:jc w:val="both"/>
        <w:rPr>
          <w:rFonts w:ascii="Calibri" w:hAnsi="Calibri"/>
          <w:sz w:val="20"/>
        </w:rPr>
      </w:pPr>
    </w:p>
    <w:p w14:paraId="0097E3B4" w14:textId="77777777" w:rsidR="00376489" w:rsidRPr="00381FA9" w:rsidRDefault="00376489" w:rsidP="00376489">
      <w:pPr>
        <w:widowControl w:val="0"/>
        <w:autoSpaceDE w:val="0"/>
        <w:autoSpaceDN w:val="0"/>
        <w:adjustRightInd w:val="0"/>
        <w:jc w:val="center"/>
        <w:rPr>
          <w:rFonts w:ascii="Calibri" w:hAnsi="Calibri"/>
          <w:sz w:val="20"/>
          <w:szCs w:val="20"/>
        </w:rPr>
      </w:pPr>
      <w:r w:rsidRPr="00381FA9">
        <w:rPr>
          <w:rFonts w:ascii="Calibri" w:hAnsi="Calibri"/>
          <w:noProof/>
          <w:sz w:val="20"/>
          <w:szCs w:val="20"/>
        </w:rPr>
        <w:drawing>
          <wp:inline distT="0" distB="0" distL="0" distR="0" wp14:anchorId="1188948F" wp14:editId="3FB7E713">
            <wp:extent cx="5722435" cy="1743075"/>
            <wp:effectExtent l="0" t="0" r="0" b="0"/>
            <wp:docPr id="33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5725983" cy="1744156"/>
                    </a:xfrm>
                    <a:prstGeom prst="rect">
                      <a:avLst/>
                    </a:prstGeom>
                    <a:noFill/>
                    <a:ln>
                      <a:noFill/>
                    </a:ln>
                  </pic:spPr>
                </pic:pic>
              </a:graphicData>
            </a:graphic>
          </wp:inline>
        </w:drawing>
      </w:r>
    </w:p>
    <w:p w14:paraId="5E071315" w14:textId="77777777" w:rsidR="00376489" w:rsidRPr="00381FA9" w:rsidRDefault="00376489" w:rsidP="00376489">
      <w:pPr>
        <w:tabs>
          <w:tab w:val="left" w:pos="2353"/>
        </w:tabs>
        <w:jc w:val="both"/>
        <w:rPr>
          <w:rFonts w:ascii="Calibri" w:eastAsia="Times New Roman" w:hAnsi="Calibri" w:cs="Times New Roman"/>
          <w:i/>
          <w:color w:val="000000" w:themeColor="text1"/>
          <w:sz w:val="20"/>
          <w:szCs w:val="20"/>
          <w:u w:val="single"/>
        </w:rPr>
      </w:pPr>
    </w:p>
    <w:p w14:paraId="5073EA4A"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Pregunta 8: ¿Qué infraestructura y servicios apoyan la cadena de mercado?</w:t>
      </w:r>
    </w:p>
    <w:p w14:paraId="09F00023"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 xml:space="preserve">La inclusión de esta información le permitirá identificar y representar los elementos más cruciales de la infraestructura y los servicios y, luego, vincularlos a sus usuarios dentro de la cadena de mercado. Esto se utilizará para comprender la resiliencia del mercado e interpretar el riesgo. Proporciona un espacio para registrar los datos cualitativos que se han recopilado y le permite comprender el papel que desempeñan la infraestructura y los servicios en el mantenimiento de la eficiencia y accesibilidad del sistema de mercado. </w:t>
      </w:r>
    </w:p>
    <w:p w14:paraId="5741FDBA" w14:textId="77777777" w:rsidR="00376489" w:rsidRPr="00381FA9" w:rsidRDefault="00376489" w:rsidP="00376489">
      <w:pPr>
        <w:tabs>
          <w:tab w:val="left" w:pos="2353"/>
        </w:tabs>
        <w:jc w:val="both"/>
        <w:rPr>
          <w:rFonts w:ascii="Calibri" w:eastAsia="Times New Roman" w:hAnsi="Calibri" w:cs="Times New Roman"/>
          <w:color w:val="000000" w:themeColor="text1"/>
          <w:sz w:val="20"/>
          <w:szCs w:val="20"/>
        </w:rPr>
      </w:pPr>
    </w:p>
    <w:p w14:paraId="19AFBF8F" w14:textId="77777777" w:rsidR="00376489" w:rsidRPr="00381FA9" w:rsidRDefault="00376489" w:rsidP="00376489">
      <w:pPr>
        <w:tabs>
          <w:tab w:val="left" w:pos="2353"/>
        </w:tabs>
        <w:jc w:val="center"/>
        <w:rPr>
          <w:rFonts w:ascii="Calibri" w:eastAsia="Times New Roman" w:hAnsi="Calibri" w:cs="Times New Roman"/>
          <w:i/>
          <w:color w:val="000000" w:themeColor="text1"/>
          <w:sz w:val="20"/>
          <w:szCs w:val="20"/>
        </w:rPr>
      </w:pPr>
      <w:r w:rsidRPr="00381FA9">
        <w:rPr>
          <w:rFonts w:ascii="Calibri" w:hAnsi="Calibri"/>
          <w:i/>
          <w:noProof/>
          <w:color w:val="000000" w:themeColor="text1"/>
          <w:sz w:val="20"/>
          <w:szCs w:val="20"/>
        </w:rPr>
        <w:lastRenderedPageBreak/>
        <w:drawing>
          <wp:inline distT="0" distB="0" distL="0" distR="0" wp14:anchorId="0D28956E" wp14:editId="68F9420C">
            <wp:extent cx="5671078" cy="2019300"/>
            <wp:effectExtent l="0" t="0" r="635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5673892" cy="2020302"/>
                    </a:xfrm>
                    <a:prstGeom prst="rect">
                      <a:avLst/>
                    </a:prstGeom>
                    <a:noFill/>
                    <a:ln>
                      <a:noFill/>
                    </a:ln>
                  </pic:spPr>
                </pic:pic>
              </a:graphicData>
            </a:graphic>
          </wp:inline>
        </w:drawing>
      </w:r>
    </w:p>
    <w:p w14:paraId="06549583" w14:textId="77777777" w:rsidR="00376489" w:rsidRPr="00381FA9" w:rsidRDefault="00376489" w:rsidP="00376489">
      <w:pPr>
        <w:rPr>
          <w:rFonts w:ascii="Calibri" w:eastAsia="Times New Roman" w:hAnsi="Calibri" w:cs="Times New Roman"/>
          <w:b/>
          <w:i/>
          <w:color w:val="000000" w:themeColor="text1"/>
          <w:sz w:val="20"/>
          <w:szCs w:val="20"/>
          <w:u w:val="single"/>
        </w:rPr>
      </w:pPr>
    </w:p>
    <w:p w14:paraId="75F87DC8" w14:textId="77777777" w:rsidR="00376489" w:rsidRPr="00381FA9" w:rsidRDefault="00376489" w:rsidP="00376489">
      <w:pPr>
        <w:widowControl w:val="0"/>
        <w:autoSpaceDE w:val="0"/>
        <w:autoSpaceDN w:val="0"/>
        <w:adjustRightInd w:val="0"/>
        <w:jc w:val="both"/>
        <w:rPr>
          <w:rFonts w:ascii="Calibri" w:hAnsi="Calibri" w:cs="Arial"/>
          <w:b/>
          <w:i/>
          <w:color w:val="595959" w:themeColor="text1" w:themeTint="A6"/>
          <w:sz w:val="20"/>
          <w:szCs w:val="20"/>
        </w:rPr>
      </w:pPr>
      <w:r w:rsidRPr="00381FA9">
        <w:rPr>
          <w:rFonts w:ascii="Calibri" w:hAnsi="Calibri"/>
          <w:b/>
          <w:i/>
          <w:color w:val="595959" w:themeColor="text1" w:themeTint="A6"/>
          <w:sz w:val="20"/>
          <w:szCs w:val="20"/>
        </w:rPr>
        <w:t>Pregunta 9: ¿Qué factores del entorno externo influyen en la cadena de mercado?</w:t>
      </w:r>
    </w:p>
    <w:p w14:paraId="58FE4E87" w14:textId="67E43888" w:rsidR="00376489" w:rsidRPr="00381FA9" w:rsidRDefault="00376489" w:rsidP="00376489">
      <w:pPr>
        <w:widowControl w:val="0"/>
        <w:autoSpaceDE w:val="0"/>
        <w:autoSpaceDN w:val="0"/>
        <w:adjustRightInd w:val="0"/>
        <w:jc w:val="both"/>
        <w:rPr>
          <w:rFonts w:ascii="Calibri" w:eastAsia="Times New Roman" w:hAnsi="Calibri" w:cs="Arial"/>
          <w:sz w:val="20"/>
          <w:szCs w:val="20"/>
        </w:rPr>
      </w:pPr>
      <w:r w:rsidRPr="00381FA9">
        <w:rPr>
          <w:rFonts w:ascii="Calibri" w:hAnsi="Calibri"/>
          <w:sz w:val="20"/>
          <w:szCs w:val="20"/>
        </w:rPr>
        <w:t xml:space="preserve">Este componente del mapeo tiene que ver con las normas, regulaciones, </w:t>
      </w:r>
      <w:r w:rsidR="00381FA9" w:rsidRPr="00381FA9">
        <w:rPr>
          <w:rFonts w:ascii="Calibri" w:hAnsi="Calibri"/>
          <w:sz w:val="20"/>
          <w:szCs w:val="20"/>
        </w:rPr>
        <w:t>problemas</w:t>
      </w:r>
      <w:r w:rsidRPr="00381FA9">
        <w:rPr>
          <w:rFonts w:ascii="Calibri" w:hAnsi="Calibri"/>
          <w:sz w:val="20"/>
          <w:szCs w:val="20"/>
        </w:rPr>
        <w:t xml:space="preserve"> y tendencias que tienen una influencia significativa en el entorno del mercado en el que operan los agentes del mercado. Consulte el paso 6 para obtener más información. </w:t>
      </w:r>
    </w:p>
    <w:p w14:paraId="2F176809" w14:textId="77777777" w:rsidR="00376489" w:rsidRPr="00381FA9" w:rsidRDefault="00376489" w:rsidP="00376489">
      <w:pPr>
        <w:widowControl w:val="0"/>
        <w:autoSpaceDE w:val="0"/>
        <w:autoSpaceDN w:val="0"/>
        <w:adjustRightInd w:val="0"/>
        <w:jc w:val="both"/>
        <w:rPr>
          <w:rFonts w:ascii="Calibri" w:eastAsia="Times New Roman" w:hAnsi="Calibri" w:cs="Arial"/>
          <w:sz w:val="20"/>
          <w:szCs w:val="20"/>
        </w:rPr>
      </w:pPr>
    </w:p>
    <w:p w14:paraId="2FFEF6B0" w14:textId="77777777" w:rsidR="00376489" w:rsidRPr="00381FA9" w:rsidRDefault="00376489" w:rsidP="00376489">
      <w:pPr>
        <w:tabs>
          <w:tab w:val="left" w:pos="2353"/>
        </w:tabs>
        <w:jc w:val="center"/>
        <w:rPr>
          <w:rFonts w:ascii="Calibri" w:eastAsia="Times New Roman" w:hAnsi="Calibri" w:cs="Times New Roman"/>
          <w:sz w:val="20"/>
          <w:szCs w:val="20"/>
        </w:rPr>
      </w:pPr>
      <w:r w:rsidRPr="00381FA9">
        <w:rPr>
          <w:rFonts w:ascii="Calibri" w:hAnsi="Calibri"/>
          <w:i/>
          <w:noProof/>
          <w:color w:val="000000" w:themeColor="text1"/>
          <w:sz w:val="20"/>
          <w:szCs w:val="20"/>
        </w:rPr>
        <w:drawing>
          <wp:inline distT="0" distB="0" distL="0" distR="0" wp14:anchorId="3D67C331" wp14:editId="50B7F9CE">
            <wp:extent cx="5703153" cy="2762250"/>
            <wp:effectExtent l="0" t="0" r="0" b="0"/>
            <wp:docPr id="3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5709881" cy="2765509"/>
                    </a:xfrm>
                    <a:prstGeom prst="rect">
                      <a:avLst/>
                    </a:prstGeom>
                    <a:noFill/>
                    <a:ln>
                      <a:noFill/>
                    </a:ln>
                  </pic:spPr>
                </pic:pic>
              </a:graphicData>
            </a:graphic>
          </wp:inline>
        </w:drawing>
      </w:r>
    </w:p>
    <w:p w14:paraId="634A9A79" w14:textId="77777777" w:rsidR="00376489" w:rsidRPr="00381FA9" w:rsidRDefault="00376489" w:rsidP="00376489">
      <w:pPr>
        <w:rPr>
          <w:rFonts w:ascii="Calibri" w:hAnsi="Calibri" w:cs="Arial"/>
          <w:b/>
          <w:color w:val="0072BC"/>
          <w:sz w:val="20"/>
          <w:szCs w:val="20"/>
        </w:rPr>
      </w:pPr>
    </w:p>
    <w:p w14:paraId="4014FA4F" w14:textId="77777777" w:rsidR="0003153C" w:rsidRPr="00381FA9" w:rsidRDefault="0003153C" w:rsidP="0003153C"/>
    <w:sectPr w:rsidR="0003153C" w:rsidRPr="00381FA9" w:rsidSect="00376489">
      <w:headerReference w:type="default" r:id="rId16"/>
      <w:footerReference w:type="default" r:id="rId17"/>
      <w:pgSz w:w="11900" w:h="16840" w:code="9"/>
      <w:pgMar w:top="720" w:right="720" w:bottom="720" w:left="72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8794A" w14:textId="77777777" w:rsidR="006363A4" w:rsidRDefault="006363A4" w:rsidP="003E43F6">
      <w:r>
        <w:separator/>
      </w:r>
    </w:p>
  </w:endnote>
  <w:endnote w:type="continuationSeparator" w:id="0">
    <w:p w14:paraId="14EB7CB7" w14:textId="77777777" w:rsidR="006363A4" w:rsidRDefault="006363A4" w:rsidP="003E4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Pro-Bd">
    <w:altName w:val="Arial"/>
    <w:charset w:val="00"/>
    <w:family w:val="roman"/>
    <w:pitch w:val="variable"/>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MT">
    <w:altName w:val="Arial"/>
    <w:charset w:val="00"/>
    <w:family w:val="auto"/>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91908995"/>
      <w:docPartObj>
        <w:docPartGallery w:val="Page Numbers (Bottom of Page)"/>
        <w:docPartUnique/>
      </w:docPartObj>
    </w:sdtPr>
    <w:sdtEndPr>
      <w:rPr>
        <w:noProof/>
      </w:rPr>
    </w:sdtEndPr>
    <w:sdtContent>
      <w:p w14:paraId="6D580470" w14:textId="77777777" w:rsidR="002F6215" w:rsidRDefault="00B269B9" w:rsidP="0003153C">
        <w:pPr>
          <w:pStyle w:val="Piedepgina"/>
          <w:rPr>
            <w:noProof/>
          </w:rPr>
        </w:pPr>
        <w:r w:rsidRPr="008314E0">
          <w:fldChar w:fldCharType="begin"/>
        </w:r>
        <w:r w:rsidRPr="008314E0">
          <w:instrText xml:space="preserve"> PAGE   \* MERGEFORMAT </w:instrText>
        </w:r>
        <w:r w:rsidRPr="008314E0">
          <w:fldChar w:fldCharType="separate"/>
        </w:r>
        <w:r w:rsidR="00376489">
          <w:t>5</w:t>
        </w:r>
        <w:r w:rsidRPr="008314E0">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52B074" w14:textId="77777777" w:rsidR="006363A4" w:rsidRDefault="006363A4" w:rsidP="003E43F6">
      <w:r>
        <w:separator/>
      </w:r>
    </w:p>
  </w:footnote>
  <w:footnote w:type="continuationSeparator" w:id="0">
    <w:p w14:paraId="39FF4900" w14:textId="77777777" w:rsidR="006363A4" w:rsidRDefault="006363A4" w:rsidP="003E43F6">
      <w:r>
        <w:continuationSeparator/>
      </w:r>
    </w:p>
  </w:footnote>
  <w:footnote w:id="1">
    <w:p w14:paraId="321F0B37" w14:textId="77777777" w:rsidR="00376489" w:rsidRPr="00AB03C9" w:rsidRDefault="00376489" w:rsidP="00376489">
      <w:pPr>
        <w:pStyle w:val="Textonotapie"/>
        <w:rPr>
          <w:rFonts w:ascii="Arial" w:hAnsi="Arial" w:cs="Arial"/>
          <w:sz w:val="16"/>
          <w:szCs w:val="16"/>
        </w:rPr>
      </w:pPr>
      <w:r>
        <w:rPr>
          <w:rStyle w:val="Refdenotaalpie"/>
          <w:rFonts w:ascii="Arial" w:hAnsi="Arial" w:cs="Arial"/>
          <w:sz w:val="16"/>
          <w:szCs w:val="16"/>
        </w:rPr>
        <w:footnoteRef/>
      </w:r>
      <w:r>
        <w:rPr>
          <w:rFonts w:ascii="Arial" w:hAnsi="Arial"/>
          <w:sz w:val="16"/>
          <w:szCs w:val="16"/>
        </w:rPr>
        <w:t xml:space="preserve"> Guías para la Evaluación de Mercado, de La Sociedad Internacional de la Cruz Roja y la Media Luna Roja; Herramienta 1.3</w:t>
      </w:r>
    </w:p>
  </w:footnote>
  <w:footnote w:id="2">
    <w:p w14:paraId="6BFDFDF1" w14:textId="77777777" w:rsidR="00376489" w:rsidRPr="009A6D02" w:rsidRDefault="00376489" w:rsidP="00376489">
      <w:pPr>
        <w:rPr>
          <w:rFonts w:ascii="Gill Sans MT" w:eastAsia="Times New Roman" w:hAnsi="Gill Sans MT" w:cs="Times New Roman"/>
          <w:sz w:val="18"/>
          <w:szCs w:val="18"/>
        </w:rPr>
      </w:pPr>
      <w:r>
        <w:rPr>
          <w:rStyle w:val="Refdenotaalpie"/>
          <w:rFonts w:ascii="Arial" w:hAnsi="Arial" w:cs="Arial"/>
          <w:sz w:val="16"/>
          <w:szCs w:val="16"/>
        </w:rPr>
        <w:footnoteRef/>
      </w:r>
      <w:r>
        <w:rPr>
          <w:rFonts w:ascii="Arial" w:hAnsi="Arial"/>
          <w:sz w:val="16"/>
          <w:szCs w:val="16"/>
        </w:rPr>
        <w:t xml:space="preserve"> El modelo presentado aquí se basa en la herramienta de mapeo de mercados usada en el kit de herramientas EMMA (Albu, 2010).</w:t>
      </w:r>
    </w:p>
  </w:footnote>
  <w:footnote w:id="3">
    <w:p w14:paraId="0A03F2E7" w14:textId="77777777" w:rsidR="00376489" w:rsidRDefault="00376489" w:rsidP="00376489">
      <w:pPr>
        <w:pStyle w:val="Textonotapie"/>
      </w:pPr>
      <w:r>
        <w:rPr>
          <w:rStyle w:val="Refdenotaalpie"/>
        </w:rPr>
        <w:footnoteRef/>
      </w:r>
      <w:r>
        <w:t xml:space="preserve"> </w:t>
      </w:r>
      <w:r>
        <w:rPr>
          <w:rFonts w:ascii="Gill Sans MT" w:hAnsi="Gill Sans MT"/>
          <w:sz w:val="18"/>
          <w:szCs w:val="22"/>
        </w:rPr>
        <w:t>Adaptado de: FAO 2008, p40, 53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803AE" w14:textId="77777777" w:rsidR="00376489" w:rsidRPr="00376489" w:rsidRDefault="00376489" w:rsidP="00376489">
    <w:pPr>
      <w:pStyle w:val="Encabezado"/>
      <w:jc w:val="right"/>
      <w:rPr>
        <w:b/>
        <w:color w:val="3A92CB" w:themeColor="accent5" w:themeShade="BF"/>
        <w:sz w:val="28"/>
      </w:rPr>
    </w:pPr>
    <w:r>
      <w:tab/>
    </w:r>
    <w:r>
      <w:tab/>
    </w:r>
    <w:r>
      <w:rPr>
        <w:b/>
        <w:color w:val="3A92CB" w:themeColor="accent5" w:themeShade="BF"/>
        <w:sz w:val="28"/>
      </w:rPr>
      <w:t>Guía y Kit de herramientas de MSMA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1459A"/>
    <w:multiLevelType w:val="hybridMultilevel"/>
    <w:tmpl w:val="90E04CA6"/>
    <w:lvl w:ilvl="0" w:tplc="339C5E30">
      <w:start w:val="3"/>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E2253"/>
    <w:multiLevelType w:val="hybridMultilevel"/>
    <w:tmpl w:val="B6708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525E2B"/>
    <w:multiLevelType w:val="multilevel"/>
    <w:tmpl w:val="0409001D"/>
    <w:numStyleLink w:val="List-Bullets"/>
  </w:abstractNum>
  <w:abstractNum w:abstractNumId="3" w15:restartNumberingAfterBreak="0">
    <w:nsid w:val="299F7171"/>
    <w:multiLevelType w:val="hybridMultilevel"/>
    <w:tmpl w:val="7BB2DA44"/>
    <w:lvl w:ilvl="0" w:tplc="D85846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C26019"/>
    <w:multiLevelType w:val="hybridMultilevel"/>
    <w:tmpl w:val="3D541074"/>
    <w:lvl w:ilvl="0" w:tplc="77903CFA">
      <w:start w:val="1"/>
      <w:numFmt w:val="bullet"/>
      <w:lvlText w:val="•"/>
      <w:lvlJc w:val="left"/>
      <w:pPr>
        <w:tabs>
          <w:tab w:val="num" w:pos="284"/>
        </w:tabs>
        <w:ind w:left="284" w:hanging="284"/>
      </w:pPr>
      <w:rPr>
        <w:rFonts w:ascii="Times New Roman" w:eastAsia="HelveticaNeueLTPro-Bd" w:hAnsi="Times New Roman" w:cs="Times New Roman" w:hint="default"/>
        <w:b/>
        <w:bCs/>
        <w:color w:val="007AC2"/>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A3589D"/>
    <w:multiLevelType w:val="hybridMultilevel"/>
    <w:tmpl w:val="7B26DC3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D65A0F"/>
    <w:multiLevelType w:val="hybridMultilevel"/>
    <w:tmpl w:val="0D76A4C6"/>
    <w:lvl w:ilvl="0" w:tplc="B6B61BF0">
      <w:start w:val="1"/>
      <w:numFmt w:val="decimal"/>
      <w:pStyle w:val="Number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EF0405F"/>
    <w:multiLevelType w:val="hybridMultilevel"/>
    <w:tmpl w:val="B1522A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F93D1C"/>
    <w:multiLevelType w:val="hybridMultilevel"/>
    <w:tmpl w:val="1954EBCC"/>
    <w:lvl w:ilvl="0" w:tplc="D85846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B309B5"/>
    <w:multiLevelType w:val="multilevel"/>
    <w:tmpl w:val="0409001D"/>
    <w:styleLink w:val="List-Bullets"/>
    <w:lvl w:ilvl="0">
      <w:start w:val="1"/>
      <w:numFmt w:val="bullet"/>
      <w:pStyle w:val="Prrafodelista"/>
      <w:lvlText w:val="•"/>
      <w:lvlJc w:val="left"/>
      <w:pPr>
        <w:ind w:left="360" w:hanging="360"/>
      </w:pPr>
      <w:rPr>
        <w:rFonts w:asciiTheme="minorHAnsi" w:hAnsiTheme="minorHAnsi" w:cs="Times New Roman" w:hint="default"/>
        <w:color w:val="007AC2"/>
        <w:sz w:val="20"/>
      </w:rPr>
    </w:lvl>
    <w:lvl w:ilvl="1">
      <w:start w:val="1"/>
      <w:numFmt w:val="bullet"/>
      <w:lvlText w:val="•"/>
      <w:lvlJc w:val="left"/>
      <w:pPr>
        <w:ind w:left="720" w:hanging="360"/>
      </w:pPr>
      <w:rPr>
        <w:rFonts w:ascii="Arial" w:hAnsi="Arial" w:cs="Times New Roman" w:hint="default"/>
        <w:color w:val="007AC2"/>
        <w:sz w:val="20"/>
      </w:rPr>
    </w:lvl>
    <w:lvl w:ilvl="2">
      <w:start w:val="1"/>
      <w:numFmt w:val="bullet"/>
      <w:lvlText w:val="•"/>
      <w:lvlJc w:val="left"/>
      <w:pPr>
        <w:ind w:left="1080" w:hanging="360"/>
      </w:pPr>
      <w:rPr>
        <w:rFonts w:ascii="Arial" w:hAnsi="Arial" w:hint="default"/>
        <w:color w:val="007AC2"/>
      </w:rPr>
    </w:lvl>
    <w:lvl w:ilvl="3">
      <w:start w:val="1"/>
      <w:numFmt w:val="bullet"/>
      <w:lvlText w:val="•"/>
      <w:lvlJc w:val="left"/>
      <w:pPr>
        <w:ind w:left="1440" w:hanging="360"/>
      </w:pPr>
      <w:rPr>
        <w:rFonts w:ascii="Arial" w:hAnsi="Arial" w:hint="default"/>
        <w:color w:val="007AC2"/>
      </w:rPr>
    </w:lvl>
    <w:lvl w:ilvl="4">
      <w:start w:val="1"/>
      <w:numFmt w:val="bullet"/>
      <w:lvlText w:val="•"/>
      <w:lvlJc w:val="left"/>
      <w:pPr>
        <w:ind w:left="1800" w:hanging="360"/>
      </w:pPr>
      <w:rPr>
        <w:rFonts w:ascii="Arial" w:hAnsi="Arial" w:hint="default"/>
        <w:color w:val="007AC2"/>
      </w:rPr>
    </w:lvl>
    <w:lvl w:ilvl="5">
      <w:start w:val="1"/>
      <w:numFmt w:val="bullet"/>
      <w:lvlText w:val="•"/>
      <w:lvlJc w:val="left"/>
      <w:pPr>
        <w:ind w:left="2160" w:hanging="360"/>
      </w:pPr>
      <w:rPr>
        <w:rFonts w:ascii="Arial" w:hAnsi="Arial" w:hint="default"/>
        <w:color w:val="007AC2"/>
      </w:rPr>
    </w:lvl>
    <w:lvl w:ilvl="6">
      <w:start w:val="1"/>
      <w:numFmt w:val="bullet"/>
      <w:lvlText w:val="•"/>
      <w:lvlJc w:val="left"/>
      <w:pPr>
        <w:ind w:left="2520" w:hanging="360"/>
      </w:pPr>
      <w:rPr>
        <w:rFonts w:ascii="Arial" w:hAnsi="Arial" w:hint="default"/>
        <w:color w:val="007AC2"/>
      </w:rPr>
    </w:lvl>
    <w:lvl w:ilvl="7">
      <w:start w:val="1"/>
      <w:numFmt w:val="bullet"/>
      <w:lvlText w:val="•"/>
      <w:lvlJc w:val="left"/>
      <w:pPr>
        <w:ind w:left="2880" w:hanging="360"/>
      </w:pPr>
      <w:rPr>
        <w:rFonts w:ascii="Arial" w:hAnsi="Arial" w:hint="default"/>
        <w:color w:val="007AC2"/>
      </w:rPr>
    </w:lvl>
    <w:lvl w:ilvl="8">
      <w:start w:val="1"/>
      <w:numFmt w:val="bullet"/>
      <w:lvlText w:val="•"/>
      <w:lvlJc w:val="left"/>
      <w:pPr>
        <w:ind w:left="3240" w:hanging="360"/>
      </w:pPr>
      <w:rPr>
        <w:rFonts w:ascii="Arial" w:hAnsi="Arial" w:hint="default"/>
        <w:color w:val="007AC2"/>
      </w:rPr>
    </w:lvl>
  </w:abstractNum>
  <w:num w:numId="1">
    <w:abstractNumId w:val="4"/>
  </w:num>
  <w:num w:numId="2">
    <w:abstractNumId w:val="9"/>
  </w:num>
  <w:num w:numId="3">
    <w:abstractNumId w:val="2"/>
  </w:num>
  <w:num w:numId="4">
    <w:abstractNumId w:val="6"/>
  </w:num>
  <w:num w:numId="5">
    <w:abstractNumId w:val="0"/>
  </w:num>
  <w:num w:numId="6">
    <w:abstractNumId w:val="8"/>
  </w:num>
  <w:num w:numId="7">
    <w:abstractNumId w:val="5"/>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489"/>
    <w:rsid w:val="0003153C"/>
    <w:rsid w:val="00072F1F"/>
    <w:rsid w:val="001F41E8"/>
    <w:rsid w:val="002926A3"/>
    <w:rsid w:val="00376489"/>
    <w:rsid w:val="00381FA9"/>
    <w:rsid w:val="00386E39"/>
    <w:rsid w:val="003E43F6"/>
    <w:rsid w:val="00500246"/>
    <w:rsid w:val="00506FB9"/>
    <w:rsid w:val="006363A4"/>
    <w:rsid w:val="00710B7D"/>
    <w:rsid w:val="00877EC8"/>
    <w:rsid w:val="008F2759"/>
    <w:rsid w:val="009A3461"/>
    <w:rsid w:val="00AF2FC5"/>
    <w:rsid w:val="00B269B9"/>
    <w:rsid w:val="00B47C82"/>
    <w:rsid w:val="00CB6D96"/>
    <w:rsid w:val="00D708EC"/>
    <w:rsid w:val="00E85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255AE"/>
  <w15:chartTrackingRefBased/>
  <w15:docId w15:val="{CA6E6C28-985F-4F5C-9570-454C577EC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6489"/>
    <w:pPr>
      <w:spacing w:after="0" w:line="240" w:lineRule="auto"/>
    </w:pPr>
    <w:rPr>
      <w:rFonts w:asciiTheme="minorHAnsi" w:hAnsiTheme="minorHAnsi"/>
      <w:sz w:val="24"/>
      <w:szCs w:val="24"/>
    </w:rPr>
  </w:style>
  <w:style w:type="paragraph" w:styleId="Ttulo1">
    <w:name w:val="heading 1"/>
    <w:basedOn w:val="Normal"/>
    <w:next w:val="Normal"/>
    <w:link w:val="Ttulo1Car"/>
    <w:uiPriority w:val="9"/>
    <w:qFormat/>
    <w:rsid w:val="009A3461"/>
    <w:pPr>
      <w:keepNext/>
      <w:keepLines/>
      <w:spacing w:line="264" w:lineRule="auto"/>
      <w:outlineLvl w:val="0"/>
    </w:pPr>
    <w:rPr>
      <w:rFonts w:eastAsiaTheme="majorEastAsia"/>
      <w:bCs/>
      <w:color w:val="0072BC" w:themeColor="text2"/>
      <w:sz w:val="48"/>
      <w:szCs w:val="48"/>
    </w:rPr>
  </w:style>
  <w:style w:type="paragraph" w:styleId="Ttulo2">
    <w:name w:val="heading 2"/>
    <w:basedOn w:val="Normal"/>
    <w:next w:val="Normal"/>
    <w:link w:val="Ttulo2Car"/>
    <w:uiPriority w:val="9"/>
    <w:unhideWhenUsed/>
    <w:qFormat/>
    <w:rsid w:val="009A3461"/>
    <w:pPr>
      <w:keepNext/>
      <w:keepLines/>
      <w:spacing w:line="288" w:lineRule="auto"/>
      <w:outlineLvl w:val="1"/>
    </w:pPr>
    <w:rPr>
      <w:rFonts w:asciiTheme="majorHAnsi" w:eastAsiaTheme="majorEastAsia" w:hAnsiTheme="majorHAnsi" w:cstheme="majorBidi"/>
      <w:bCs/>
      <w:color w:val="0072BC" w:themeColor="text2"/>
      <w:sz w:val="36"/>
      <w:szCs w:val="36"/>
    </w:rPr>
  </w:style>
  <w:style w:type="paragraph" w:styleId="Ttulo3">
    <w:name w:val="heading 3"/>
    <w:basedOn w:val="Normal"/>
    <w:next w:val="Normal"/>
    <w:link w:val="Ttulo3Car"/>
    <w:uiPriority w:val="9"/>
    <w:unhideWhenUsed/>
    <w:qFormat/>
    <w:rsid w:val="0003153C"/>
    <w:pPr>
      <w:keepNext/>
      <w:keepLines/>
      <w:spacing w:after="140" w:line="288" w:lineRule="auto"/>
      <w:outlineLvl w:val="2"/>
    </w:pPr>
    <w:rPr>
      <w:rFonts w:asciiTheme="majorHAnsi" w:eastAsiaTheme="majorEastAsia" w:hAnsiTheme="majorHAnsi" w:cstheme="majorBidi"/>
      <w:bCs/>
      <w:color w:val="0072BC" w:themeColor="text2"/>
      <w:sz w:val="28"/>
    </w:rPr>
  </w:style>
  <w:style w:type="paragraph" w:styleId="Ttulo4">
    <w:name w:val="heading 4"/>
    <w:basedOn w:val="Normal"/>
    <w:next w:val="Normal"/>
    <w:link w:val="Ttulo4Car"/>
    <w:uiPriority w:val="9"/>
    <w:unhideWhenUsed/>
    <w:qFormat/>
    <w:rsid w:val="0003153C"/>
    <w:pPr>
      <w:keepNext/>
      <w:keepLines/>
      <w:outlineLvl w:val="3"/>
    </w:pPr>
    <w:rPr>
      <w:rFonts w:asciiTheme="majorHAnsi" w:eastAsiaTheme="majorEastAsia" w:hAnsiTheme="majorHAnsi" w:cstheme="majorBidi"/>
      <w:b/>
      <w:bCs/>
      <w:iCs/>
      <w:color w:val="0072BC" w:themeColor="text2"/>
    </w:rPr>
  </w:style>
  <w:style w:type="paragraph" w:styleId="Ttulo5">
    <w:name w:val="heading 5"/>
    <w:basedOn w:val="Normal"/>
    <w:next w:val="Normal"/>
    <w:link w:val="Ttulo5Car"/>
    <w:uiPriority w:val="9"/>
    <w:unhideWhenUsed/>
    <w:qFormat/>
    <w:rsid w:val="009A3461"/>
    <w:pPr>
      <w:keepNext/>
      <w:keepLines/>
      <w:spacing w:before="40"/>
      <w:outlineLvl w:val="4"/>
    </w:pPr>
    <w:rPr>
      <w:rFonts w:asciiTheme="majorHAnsi" w:eastAsiaTheme="majorEastAsia" w:hAnsiTheme="majorHAnsi" w:cstheme="majorBidi"/>
      <w:color w:val="D7132D"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A3461"/>
    <w:rPr>
      <w:rFonts w:eastAsiaTheme="majorEastAsia" w:cs="Arial"/>
      <w:bCs/>
      <w:color w:val="0072BC" w:themeColor="text2"/>
      <w:sz w:val="48"/>
      <w:szCs w:val="48"/>
      <w:lang w:val="es-CO"/>
    </w:rPr>
  </w:style>
  <w:style w:type="character" w:customStyle="1" w:styleId="Ttulo2Car">
    <w:name w:val="Título 2 Car"/>
    <w:basedOn w:val="Fuentedeprrafopredeter"/>
    <w:link w:val="Ttulo2"/>
    <w:uiPriority w:val="9"/>
    <w:rsid w:val="009A3461"/>
    <w:rPr>
      <w:rFonts w:asciiTheme="majorHAnsi" w:eastAsiaTheme="majorEastAsia" w:hAnsiTheme="majorHAnsi" w:cstheme="majorBidi"/>
      <w:bCs/>
      <w:color w:val="0072BC" w:themeColor="text2"/>
      <w:sz w:val="36"/>
      <w:szCs w:val="36"/>
      <w:lang w:val="es-CO"/>
    </w:rPr>
  </w:style>
  <w:style w:type="character" w:customStyle="1" w:styleId="Ttulo3Car">
    <w:name w:val="Título 3 Car"/>
    <w:basedOn w:val="Fuentedeprrafopredeter"/>
    <w:link w:val="Ttulo3"/>
    <w:uiPriority w:val="9"/>
    <w:rsid w:val="0003153C"/>
    <w:rPr>
      <w:rFonts w:asciiTheme="majorHAnsi" w:eastAsiaTheme="majorEastAsia" w:hAnsiTheme="majorHAnsi" w:cstheme="majorBidi"/>
      <w:bCs/>
      <w:color w:val="0072BC" w:themeColor="text2"/>
      <w:sz w:val="28"/>
      <w:szCs w:val="24"/>
      <w:lang w:val="es-CO"/>
    </w:rPr>
  </w:style>
  <w:style w:type="character" w:customStyle="1" w:styleId="Ttulo4Car">
    <w:name w:val="Título 4 Car"/>
    <w:basedOn w:val="Fuentedeprrafopredeter"/>
    <w:link w:val="Ttulo4"/>
    <w:uiPriority w:val="9"/>
    <w:rsid w:val="0003153C"/>
    <w:rPr>
      <w:rFonts w:asciiTheme="majorHAnsi" w:eastAsiaTheme="majorEastAsia" w:hAnsiTheme="majorHAnsi" w:cstheme="majorBidi"/>
      <w:b/>
      <w:bCs/>
      <w:iCs/>
      <w:color w:val="0072BC" w:themeColor="text2"/>
      <w:sz w:val="24"/>
      <w:szCs w:val="24"/>
      <w:lang w:val="es-CO"/>
    </w:rPr>
  </w:style>
  <w:style w:type="character" w:styleId="nfasisintenso">
    <w:name w:val="Intense Emphasis"/>
    <w:basedOn w:val="Fuentedeprrafopredeter"/>
    <w:uiPriority w:val="21"/>
    <w:qFormat/>
    <w:rsid w:val="00B269B9"/>
    <w:rPr>
      <w:b/>
      <w:bCs/>
      <w:i/>
      <w:iCs/>
      <w:color w:val="0072BC" w:themeColor="text2"/>
    </w:rPr>
  </w:style>
  <w:style w:type="character" w:styleId="Textoennegrita">
    <w:name w:val="Strong"/>
    <w:basedOn w:val="Fuentedeprrafopredeter"/>
    <w:uiPriority w:val="22"/>
    <w:qFormat/>
    <w:rsid w:val="003E43F6"/>
    <w:rPr>
      <w:b/>
      <w:bCs/>
    </w:rPr>
  </w:style>
  <w:style w:type="paragraph" w:styleId="Cita">
    <w:name w:val="Quote"/>
    <w:basedOn w:val="Normal"/>
    <w:next w:val="Normal"/>
    <w:link w:val="CitaCar"/>
    <w:uiPriority w:val="29"/>
    <w:qFormat/>
    <w:rsid w:val="00B269B9"/>
    <w:pPr>
      <w:pBdr>
        <w:left w:val="single" w:sz="24" w:space="14" w:color="FAEB00" w:themeColor="accent3"/>
      </w:pBdr>
      <w:spacing w:line="288" w:lineRule="auto"/>
    </w:pPr>
    <w:rPr>
      <w:iCs/>
      <w:color w:val="0072BC" w:themeColor="text2"/>
      <w:sz w:val="28"/>
    </w:rPr>
  </w:style>
  <w:style w:type="character" w:customStyle="1" w:styleId="CitaCar">
    <w:name w:val="Cita Car"/>
    <w:basedOn w:val="Fuentedeprrafopredeter"/>
    <w:link w:val="Cita"/>
    <w:uiPriority w:val="29"/>
    <w:rsid w:val="00B269B9"/>
    <w:rPr>
      <w:rFonts w:eastAsiaTheme="minorEastAsia" w:cs="Arial"/>
      <w:iCs/>
      <w:color w:val="0072BC" w:themeColor="text2"/>
      <w:sz w:val="28"/>
      <w:szCs w:val="24"/>
      <w:lang w:val="es-CO"/>
    </w:rPr>
  </w:style>
  <w:style w:type="paragraph" w:styleId="Prrafodelista">
    <w:name w:val="List Paragraph"/>
    <w:basedOn w:val="Normal"/>
    <w:link w:val="PrrafodelistaCar"/>
    <w:uiPriority w:val="34"/>
    <w:qFormat/>
    <w:rsid w:val="003E43F6"/>
    <w:pPr>
      <w:numPr>
        <w:numId w:val="3"/>
      </w:numPr>
      <w:contextualSpacing/>
    </w:pPr>
    <w:rPr>
      <w:szCs w:val="20"/>
    </w:rPr>
  </w:style>
  <w:style w:type="numbering" w:customStyle="1" w:styleId="List-Bullets">
    <w:name w:val="List-Bullets"/>
    <w:uiPriority w:val="99"/>
    <w:rsid w:val="003E43F6"/>
    <w:pPr>
      <w:numPr>
        <w:numId w:val="2"/>
      </w:numPr>
    </w:pPr>
  </w:style>
  <w:style w:type="paragraph" w:styleId="Descripcin">
    <w:name w:val="caption"/>
    <w:basedOn w:val="Normal"/>
    <w:next w:val="Normal"/>
    <w:uiPriority w:val="35"/>
    <w:unhideWhenUsed/>
    <w:qFormat/>
    <w:rsid w:val="00B269B9"/>
    <w:pPr>
      <w:spacing w:after="200"/>
    </w:pPr>
    <w:rPr>
      <w:bCs/>
      <w:sz w:val="16"/>
      <w:szCs w:val="16"/>
    </w:rPr>
  </w:style>
  <w:style w:type="paragraph" w:styleId="Encabezado">
    <w:name w:val="header"/>
    <w:basedOn w:val="Normal"/>
    <w:link w:val="EncabezadoCar"/>
    <w:uiPriority w:val="99"/>
    <w:unhideWhenUsed/>
    <w:rsid w:val="003E43F6"/>
    <w:pPr>
      <w:tabs>
        <w:tab w:val="center" w:pos="4320"/>
        <w:tab w:val="right" w:pos="8640"/>
      </w:tabs>
    </w:pPr>
  </w:style>
  <w:style w:type="character" w:customStyle="1" w:styleId="EncabezadoCar">
    <w:name w:val="Encabezado Car"/>
    <w:basedOn w:val="Fuentedeprrafopredeter"/>
    <w:link w:val="Encabezado"/>
    <w:uiPriority w:val="99"/>
    <w:rsid w:val="003E43F6"/>
    <w:rPr>
      <w:rFonts w:eastAsiaTheme="minorEastAsia" w:cs="Arial"/>
      <w:sz w:val="20"/>
      <w:szCs w:val="24"/>
      <w:lang w:val="es-CO"/>
    </w:rPr>
  </w:style>
  <w:style w:type="paragraph" w:styleId="Piedepgina">
    <w:name w:val="footer"/>
    <w:basedOn w:val="Normal"/>
    <w:link w:val="PiedepginaCar"/>
    <w:uiPriority w:val="99"/>
    <w:unhideWhenUsed/>
    <w:rsid w:val="003E43F6"/>
    <w:pPr>
      <w:tabs>
        <w:tab w:val="center" w:pos="4320"/>
        <w:tab w:val="right" w:pos="8640"/>
      </w:tabs>
    </w:pPr>
  </w:style>
  <w:style w:type="character" w:customStyle="1" w:styleId="PiedepginaCar">
    <w:name w:val="Pie de página Car"/>
    <w:basedOn w:val="Fuentedeprrafopredeter"/>
    <w:link w:val="Piedepgina"/>
    <w:uiPriority w:val="99"/>
    <w:rsid w:val="003E43F6"/>
    <w:rPr>
      <w:rFonts w:eastAsiaTheme="minorEastAsia" w:cs="Arial"/>
      <w:sz w:val="20"/>
      <w:szCs w:val="24"/>
      <w:lang w:val="es-CO"/>
    </w:rPr>
  </w:style>
  <w:style w:type="paragraph" w:customStyle="1" w:styleId="Pullout">
    <w:name w:val="Pullout"/>
    <w:basedOn w:val="Cita"/>
    <w:link w:val="PulloutChar"/>
    <w:qFormat/>
    <w:rsid w:val="00B269B9"/>
    <w:pPr>
      <w:pBdr>
        <w:top w:val="single" w:sz="24" w:space="20" w:color="FFFFFF" w:themeColor="background1"/>
        <w:left w:val="single" w:sz="24" w:space="20" w:color="FAEB00" w:themeColor="accent3"/>
        <w:bottom w:val="single" w:sz="24" w:space="20" w:color="FFFFFF" w:themeColor="background1"/>
        <w:right w:val="single" w:sz="24" w:space="20" w:color="FFFFFF" w:themeColor="background1"/>
      </w:pBdr>
      <w:shd w:val="clear" w:color="auto" w:fill="FFFCDF"/>
      <w:spacing w:before="480" w:after="480"/>
      <w:ind w:left="400" w:right="400"/>
    </w:pPr>
    <w:rPr>
      <w:iCs w:val="0"/>
      <w:sz w:val="24"/>
    </w:rPr>
  </w:style>
  <w:style w:type="character" w:customStyle="1" w:styleId="PulloutChar">
    <w:name w:val="Pullout Char"/>
    <w:basedOn w:val="CitaCar"/>
    <w:link w:val="Pullout"/>
    <w:rsid w:val="00B269B9"/>
    <w:rPr>
      <w:rFonts w:eastAsiaTheme="minorEastAsia" w:cs="Arial"/>
      <w:iCs w:val="0"/>
      <w:color w:val="0072BC" w:themeColor="text2"/>
      <w:sz w:val="24"/>
      <w:szCs w:val="24"/>
      <w:shd w:val="clear" w:color="auto" w:fill="FFFCDF"/>
      <w:lang w:val="es-CO"/>
    </w:rPr>
  </w:style>
  <w:style w:type="paragraph" w:customStyle="1" w:styleId="Box">
    <w:name w:val="Box"/>
    <w:basedOn w:val="Normal"/>
    <w:qFormat/>
    <w:rsid w:val="003E43F6"/>
    <w:pPr>
      <w:pBdr>
        <w:top w:val="single" w:sz="8" w:space="20" w:color="81AADF" w:themeColor="accent4" w:themeTint="66"/>
        <w:left w:val="single" w:sz="8" w:space="20" w:color="81AADF" w:themeColor="accent4" w:themeTint="66"/>
        <w:bottom w:val="single" w:sz="8" w:space="20" w:color="81AADF" w:themeColor="accent4" w:themeTint="66"/>
        <w:right w:val="single" w:sz="8" w:space="20" w:color="81AADF" w:themeColor="accent4" w:themeTint="66"/>
      </w:pBdr>
      <w:shd w:val="clear" w:color="auto" w:fill="E0E7F5"/>
      <w:spacing w:before="400" w:after="400"/>
      <w:ind w:left="400" w:right="400"/>
    </w:pPr>
  </w:style>
  <w:style w:type="paragraph" w:customStyle="1" w:styleId="NumberList">
    <w:name w:val="Number List"/>
    <w:basedOn w:val="Prrafodelista"/>
    <w:qFormat/>
    <w:rsid w:val="003E43F6"/>
    <w:pPr>
      <w:numPr>
        <w:numId w:val="4"/>
      </w:numPr>
      <w:spacing w:after="80"/>
      <w:ind w:left="357" w:hanging="357"/>
    </w:pPr>
  </w:style>
  <w:style w:type="paragraph" w:customStyle="1" w:styleId="BulletList">
    <w:name w:val="Bullet List"/>
    <w:basedOn w:val="Prrafodelista"/>
    <w:qFormat/>
    <w:rsid w:val="003E43F6"/>
    <w:pPr>
      <w:spacing w:after="80"/>
      <w:ind w:left="357" w:hanging="357"/>
    </w:pPr>
  </w:style>
  <w:style w:type="character" w:customStyle="1" w:styleId="Ttulo5Car">
    <w:name w:val="Título 5 Car"/>
    <w:basedOn w:val="Fuentedeprrafopredeter"/>
    <w:link w:val="Ttulo5"/>
    <w:uiPriority w:val="9"/>
    <w:rsid w:val="009A3461"/>
    <w:rPr>
      <w:rFonts w:asciiTheme="majorHAnsi" w:eastAsiaTheme="majorEastAsia" w:hAnsiTheme="majorHAnsi" w:cstheme="majorBidi"/>
      <w:color w:val="D7132D" w:themeColor="accent1" w:themeShade="BF"/>
      <w:sz w:val="20"/>
      <w:szCs w:val="24"/>
      <w:lang w:val="es-CO"/>
    </w:rPr>
  </w:style>
  <w:style w:type="character" w:styleId="nfasis">
    <w:name w:val="Emphasis"/>
    <w:basedOn w:val="Fuentedeprrafopredeter"/>
    <w:uiPriority w:val="20"/>
    <w:qFormat/>
    <w:rsid w:val="009A3461"/>
    <w:rPr>
      <w:i/>
      <w:iCs/>
    </w:rPr>
  </w:style>
  <w:style w:type="paragraph" w:styleId="Ttulo">
    <w:name w:val="Title"/>
    <w:basedOn w:val="Normal"/>
    <w:next w:val="Normal"/>
    <w:link w:val="TtuloCar"/>
    <w:uiPriority w:val="10"/>
    <w:qFormat/>
    <w:rsid w:val="009A3461"/>
    <w:pPr>
      <w:contextualSpacing/>
    </w:pPr>
    <w:rPr>
      <w:rFonts w:eastAsiaTheme="majorEastAsia" w:cstheme="majorBidi"/>
      <w:b/>
      <w:kern w:val="28"/>
      <w:sz w:val="56"/>
      <w:szCs w:val="56"/>
    </w:rPr>
  </w:style>
  <w:style w:type="character" w:customStyle="1" w:styleId="TtuloCar">
    <w:name w:val="Título Car"/>
    <w:basedOn w:val="Fuentedeprrafopredeter"/>
    <w:link w:val="Ttulo"/>
    <w:uiPriority w:val="10"/>
    <w:rsid w:val="009A3461"/>
    <w:rPr>
      <w:rFonts w:eastAsiaTheme="majorEastAsia" w:cstheme="majorBidi"/>
      <w:b/>
      <w:kern w:val="28"/>
      <w:sz w:val="56"/>
      <w:szCs w:val="56"/>
      <w:lang w:val="es-CO"/>
    </w:rPr>
  </w:style>
  <w:style w:type="paragraph" w:styleId="Subttulo">
    <w:name w:val="Subtitle"/>
    <w:basedOn w:val="Normal"/>
    <w:next w:val="Normal"/>
    <w:link w:val="SubttuloCar"/>
    <w:uiPriority w:val="11"/>
    <w:qFormat/>
    <w:rsid w:val="009A3461"/>
    <w:pPr>
      <w:numPr>
        <w:ilvl w:val="1"/>
      </w:numPr>
      <w:spacing w:after="160"/>
    </w:pPr>
    <w:rPr>
      <w:color w:val="5A5A5A" w:themeColor="text1" w:themeTint="A5"/>
      <w:spacing w:val="15"/>
      <w:sz w:val="32"/>
      <w:szCs w:val="22"/>
    </w:rPr>
  </w:style>
  <w:style w:type="character" w:customStyle="1" w:styleId="SubttuloCar">
    <w:name w:val="Subtítulo Car"/>
    <w:basedOn w:val="Fuentedeprrafopredeter"/>
    <w:link w:val="Subttulo"/>
    <w:uiPriority w:val="11"/>
    <w:rsid w:val="009A3461"/>
    <w:rPr>
      <w:rFonts w:eastAsiaTheme="minorEastAsia"/>
      <w:color w:val="5A5A5A" w:themeColor="text1" w:themeTint="A5"/>
      <w:spacing w:val="15"/>
      <w:sz w:val="32"/>
      <w:lang w:val="es-CO"/>
    </w:rPr>
  </w:style>
  <w:style w:type="character" w:styleId="nfasissutil">
    <w:name w:val="Subtle Emphasis"/>
    <w:basedOn w:val="Fuentedeprrafopredeter"/>
    <w:uiPriority w:val="19"/>
    <w:qFormat/>
    <w:rsid w:val="009A3461"/>
    <w:rPr>
      <w:i/>
      <w:iCs/>
      <w:color w:val="404040" w:themeColor="text1" w:themeTint="BF"/>
    </w:rPr>
  </w:style>
  <w:style w:type="character" w:styleId="Referenciasutil">
    <w:name w:val="Subtle Reference"/>
    <w:basedOn w:val="Fuentedeprrafopredeter"/>
    <w:uiPriority w:val="31"/>
    <w:qFormat/>
    <w:rsid w:val="009A3461"/>
    <w:rPr>
      <w:smallCaps/>
      <w:color w:val="5A5A5A" w:themeColor="text1" w:themeTint="A5"/>
    </w:rPr>
  </w:style>
  <w:style w:type="character" w:styleId="Ttulodellibro">
    <w:name w:val="Book Title"/>
    <w:basedOn w:val="Fuentedeprrafopredeter"/>
    <w:uiPriority w:val="33"/>
    <w:qFormat/>
    <w:rsid w:val="009A3461"/>
    <w:rPr>
      <w:b/>
      <w:bCs/>
      <w:i/>
      <w:iCs/>
      <w:spacing w:val="5"/>
    </w:rPr>
  </w:style>
  <w:style w:type="paragraph" w:styleId="Citadestacada">
    <w:name w:val="Intense Quote"/>
    <w:basedOn w:val="Normal"/>
    <w:next w:val="Normal"/>
    <w:link w:val="CitadestacadaCar"/>
    <w:uiPriority w:val="30"/>
    <w:qFormat/>
    <w:rsid w:val="0003153C"/>
    <w:pPr>
      <w:pBdr>
        <w:top w:val="single" w:sz="4" w:space="10" w:color="EF4A60" w:themeColor="accent1"/>
        <w:bottom w:val="single" w:sz="4" w:space="10" w:color="EF4A60" w:themeColor="accent1"/>
      </w:pBdr>
      <w:spacing w:before="360" w:after="360"/>
      <w:ind w:left="864" w:right="864"/>
      <w:jc w:val="center"/>
    </w:pPr>
    <w:rPr>
      <w:i/>
      <w:iCs/>
      <w:color w:val="EF4A60" w:themeColor="accent1"/>
    </w:rPr>
  </w:style>
  <w:style w:type="character" w:customStyle="1" w:styleId="CitadestacadaCar">
    <w:name w:val="Cita destacada Car"/>
    <w:basedOn w:val="Fuentedeprrafopredeter"/>
    <w:link w:val="Citadestacada"/>
    <w:uiPriority w:val="30"/>
    <w:rsid w:val="0003153C"/>
    <w:rPr>
      <w:rFonts w:eastAsiaTheme="minorEastAsia" w:cs="Arial"/>
      <w:i/>
      <w:iCs/>
      <w:color w:val="EF4A60" w:themeColor="accent1"/>
      <w:sz w:val="20"/>
      <w:szCs w:val="24"/>
      <w:lang w:val="es-CO"/>
    </w:rPr>
  </w:style>
  <w:style w:type="character" w:customStyle="1" w:styleId="PrrafodelistaCar">
    <w:name w:val="Párrafo de lista Car"/>
    <w:basedOn w:val="Fuentedeprrafopredeter"/>
    <w:link w:val="Prrafodelista"/>
    <w:uiPriority w:val="34"/>
    <w:locked/>
    <w:rsid w:val="00376489"/>
    <w:rPr>
      <w:rFonts w:eastAsiaTheme="minorEastAsia" w:cs="Arial"/>
      <w:sz w:val="20"/>
      <w:szCs w:val="20"/>
      <w:lang w:val="es-CO"/>
    </w:rPr>
  </w:style>
  <w:style w:type="table" w:styleId="Tablaconcuadrcula">
    <w:name w:val="Table Grid"/>
    <w:basedOn w:val="Tablanormal"/>
    <w:uiPriority w:val="39"/>
    <w:rsid w:val="00376489"/>
    <w:pPr>
      <w:spacing w:after="0" w:line="240" w:lineRule="auto"/>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BVI fnr,BVI fnr Car Car,BVI fnr Car,BVI fnr Car Car Car Car,BVI fnr Car Car Car Car Char,ftref, BVI fnr,16 Point,Superscript 6 Point,Normal + Font:9 Point,Superscript 3 Point Times"/>
    <w:uiPriority w:val="99"/>
    <w:rsid w:val="00376489"/>
    <w:rPr>
      <w:vertAlign w:val="superscript"/>
    </w:rPr>
  </w:style>
  <w:style w:type="paragraph" w:styleId="Textonotapie">
    <w:name w:val="footnote text"/>
    <w:aliases w:val="Testo nota a piè di pagina Carattere,Geneva 9,Font: Geneva 9,Boston 10,f,single space,Char,FOOTNOTES,fn,Footnote Text Char Char Char Char,Footnote Text Char Char Char,ADB,Footnote Text Char Char Char Char Char,Footnote Text Char Char1"/>
    <w:basedOn w:val="Normal"/>
    <w:link w:val="TextonotapieCar"/>
    <w:uiPriority w:val="99"/>
    <w:unhideWhenUsed/>
    <w:rsid w:val="00376489"/>
    <w:rPr>
      <w:rFonts w:asciiTheme="majorHAnsi" w:eastAsiaTheme="minorEastAsia" w:hAnsiTheme="majorHAnsi" w:cs="ArialMT"/>
    </w:rPr>
  </w:style>
  <w:style w:type="character" w:customStyle="1" w:styleId="TextonotapieCar">
    <w:name w:val="Texto nota pie Car"/>
    <w:aliases w:val="Testo nota a piè di pagina Carattere Car,Geneva 9 Car,Font: Geneva 9 Car,Boston 10 Car,f Car,single space Car,Char Car,FOOTNOTES Car,fn Car,Footnote Text Char Char Char Char Car,Footnote Text Char Char Char Car,ADB Car"/>
    <w:basedOn w:val="Fuentedeprrafopredeter"/>
    <w:link w:val="Textonotapie"/>
    <w:uiPriority w:val="99"/>
    <w:rsid w:val="00376489"/>
    <w:rPr>
      <w:rFonts w:asciiTheme="majorHAnsi" w:eastAsiaTheme="minorEastAsia" w:hAnsiTheme="majorHAnsi" w:cs="ArialMT"/>
      <w:sz w:val="24"/>
      <w:szCs w:val="24"/>
      <w:lang w:val="es-CO"/>
    </w:rPr>
  </w:style>
  <w:style w:type="table" w:styleId="Sombreadoclaro-nfasis2">
    <w:name w:val="Light Shading Accent 2"/>
    <w:basedOn w:val="Tablanormal"/>
    <w:uiPriority w:val="60"/>
    <w:rsid w:val="00376489"/>
    <w:pPr>
      <w:spacing w:after="0" w:line="240" w:lineRule="auto"/>
    </w:pPr>
    <w:rPr>
      <w:rFonts w:asciiTheme="majorHAnsi" w:eastAsiaTheme="minorEastAsia" w:hAnsiTheme="majorHAnsi" w:cs="ArialMT"/>
      <w:color w:val="008671" w:themeColor="accent2" w:themeShade="BF"/>
      <w:sz w:val="20"/>
      <w:szCs w:val="20"/>
    </w:rPr>
    <w:tblPr>
      <w:tblStyleRowBandSize w:val="1"/>
      <w:tblStyleColBandSize w:val="1"/>
      <w:tblBorders>
        <w:top w:val="single" w:sz="8" w:space="0" w:color="00B398" w:themeColor="accent2"/>
        <w:bottom w:val="single" w:sz="8" w:space="0" w:color="00B398" w:themeColor="accent2"/>
      </w:tblBorders>
    </w:tblPr>
    <w:tblStylePr w:type="firstRow">
      <w:pPr>
        <w:spacing w:before="0" w:after="0" w:line="240" w:lineRule="auto"/>
      </w:pPr>
      <w:rPr>
        <w:b/>
        <w:bCs/>
      </w:rPr>
      <w:tblPr/>
      <w:tcPr>
        <w:tcBorders>
          <w:top w:val="single" w:sz="8" w:space="0" w:color="00B398" w:themeColor="accent2"/>
          <w:left w:val="nil"/>
          <w:bottom w:val="single" w:sz="8" w:space="0" w:color="00B398" w:themeColor="accent2"/>
          <w:right w:val="nil"/>
          <w:insideH w:val="nil"/>
          <w:insideV w:val="nil"/>
        </w:tcBorders>
      </w:tcPr>
    </w:tblStylePr>
    <w:tblStylePr w:type="lastRow">
      <w:pPr>
        <w:spacing w:before="0" w:after="0" w:line="240" w:lineRule="auto"/>
      </w:pPr>
      <w:rPr>
        <w:b/>
        <w:bCs/>
      </w:rPr>
      <w:tblPr/>
      <w:tcPr>
        <w:tcBorders>
          <w:top w:val="single" w:sz="8" w:space="0" w:color="00B398" w:themeColor="accent2"/>
          <w:left w:val="nil"/>
          <w:bottom w:val="single" w:sz="8" w:space="0" w:color="00B398"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FF2" w:themeFill="accent2" w:themeFillTint="3F"/>
      </w:tcPr>
    </w:tblStylePr>
    <w:tblStylePr w:type="band1Horz">
      <w:tblPr/>
      <w:tcPr>
        <w:tcBorders>
          <w:left w:val="nil"/>
          <w:right w:val="nil"/>
          <w:insideH w:val="nil"/>
          <w:insideV w:val="nil"/>
        </w:tcBorders>
        <w:shd w:val="clear" w:color="auto" w:fill="ADFFF2" w:themeFill="accent2" w:themeFillTint="3F"/>
      </w:tcPr>
    </w:tblStylePr>
  </w:style>
  <w:style w:type="paragraph" w:styleId="NormalWeb">
    <w:name w:val="Normal (Web)"/>
    <w:basedOn w:val="Normal"/>
    <w:uiPriority w:val="99"/>
    <w:semiHidden/>
    <w:unhideWhenUsed/>
    <w:rsid w:val="00376489"/>
    <w:pPr>
      <w:spacing w:before="100" w:beforeAutospacing="1" w:after="100" w:afterAutospacing="1"/>
    </w:pPr>
    <w:rPr>
      <w:rFonts w:ascii="Times" w:eastAsiaTheme="minorEastAsia"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UNHCR Theme">
      <a:dk1>
        <a:sysClr val="windowText" lastClr="000000"/>
      </a:dk1>
      <a:lt1>
        <a:sysClr val="window" lastClr="FFFFFF"/>
      </a:lt1>
      <a:dk2>
        <a:srgbClr val="0072BC"/>
      </a:dk2>
      <a:lt2>
        <a:srgbClr val="E7E6E6"/>
      </a:lt2>
      <a:accent1>
        <a:srgbClr val="EF4A60"/>
      </a:accent1>
      <a:accent2>
        <a:srgbClr val="00B398"/>
      </a:accent2>
      <a:accent3>
        <a:srgbClr val="FAEB00"/>
      </a:accent3>
      <a:accent4>
        <a:srgbClr val="18375F"/>
      </a:accent4>
      <a:accent5>
        <a:srgbClr val="80B9DE"/>
      </a:accent5>
      <a:accent6>
        <a:srgbClr val="A5A5A5"/>
      </a:accent6>
      <a:hlink>
        <a:srgbClr val="0072BC"/>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9CE7162EA6CD74D8DEFE054AD4C16B0" ma:contentTypeVersion="11" ma:contentTypeDescription="Create a new document." ma:contentTypeScope="" ma:versionID="434463b6d83f3c97b106f2a3e588554b">
  <xsd:schema xmlns:xsd="http://www.w3.org/2001/XMLSchema" xmlns:xs="http://www.w3.org/2001/XMLSchema" xmlns:p="http://schemas.microsoft.com/office/2006/metadata/properties" xmlns:ns2="b51ac414-4c09-4658-abdf-4d7741ac963c" xmlns:ns3="4c83806d-1aa3-4ae5-b3e0-5527f1132511" targetNamespace="http://schemas.microsoft.com/office/2006/metadata/properties" ma:root="true" ma:fieldsID="6f6cede3f4695bde26d1ec8a1db76419" ns2:_="" ns3:_="">
    <xsd:import namespace="b51ac414-4c09-4658-abdf-4d7741ac963c"/>
    <xsd:import namespace="4c83806d-1aa3-4ae5-b3e0-5527f11325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1ac414-4c09-4658-abdf-4d7741ac9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83806d-1aa3-4ae5-b3e0-5527f113251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E5C2A8-FE8D-4AED-AEA3-258013C863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E4EC22-A329-4F37-9404-FB75EB040DBE}"/>
</file>

<file path=customXml/itemProps3.xml><?xml version="1.0" encoding="utf-8"?>
<ds:datastoreItem xmlns:ds="http://schemas.openxmlformats.org/officeDocument/2006/customXml" ds:itemID="{55469971-B064-4A48-B1F7-B14E1547D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1755</Words>
  <Characters>9657</Characters>
  <Application>Microsoft Office Word</Application>
  <DocSecurity>0</DocSecurity>
  <Lines>80</Lines>
  <Paragraphs>22</Paragraphs>
  <ScaleCrop>false</ScaleCrop>
  <Company>UNHCR</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Ricarda Pinto</dc:creator>
  <cp:keywords/>
  <dc:description/>
  <cp:lastModifiedBy>Carlos Javier Rivera</cp:lastModifiedBy>
  <cp:revision>4</cp:revision>
  <dcterms:created xsi:type="dcterms:W3CDTF">2020-10-13T15:21:00Z</dcterms:created>
  <dcterms:modified xsi:type="dcterms:W3CDTF">2020-12-16T21:10:00Z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0x01010019CE7162EA6CD74D8DEFE054AD4C16B0</vt:lpwstr>
  </property>
</Properties>
</file>